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76553" w14:textId="738E2FFA" w:rsidR="008C63F0" w:rsidRPr="001032A9" w:rsidRDefault="00A60801" w:rsidP="008C63F0">
      <w:pPr>
        <w:rPr>
          <w:rFonts w:cstheme="minorHAnsi"/>
          <w:lang w:val="en-GB"/>
        </w:rPr>
      </w:pPr>
      <w:r w:rsidRPr="00351F0B">
        <w:rPr>
          <w:rFonts w:ascii="Helvetica" w:hAnsi="Helvetica" w:cs="Helvetica"/>
          <w:noProof/>
          <w:sz w:val="24"/>
          <w:szCs w:val="24"/>
        </w:rPr>
        <w:drawing>
          <wp:anchor distT="0" distB="0" distL="114300" distR="114300" simplePos="0" relativeHeight="251664384" behindDoc="1" locked="0" layoutInCell="1" allowOverlap="1" wp14:anchorId="50A595E3" wp14:editId="6FB9BDA4">
            <wp:simplePos x="0" y="0"/>
            <wp:positionH relativeFrom="column">
              <wp:posOffset>6787662</wp:posOffset>
            </wp:positionH>
            <wp:positionV relativeFrom="paragraph">
              <wp:posOffset>193430</wp:posOffset>
            </wp:positionV>
            <wp:extent cx="1345223" cy="897287"/>
            <wp:effectExtent l="0" t="0" r="1270" b="4445"/>
            <wp:wrapNone/>
            <wp:docPr id="16" name="Picture 16"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magine che contiene testo, clipart&#10;&#10;Descrizione generat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292" cy="909339"/>
                    </a:xfrm>
                    <a:prstGeom prst="rect">
                      <a:avLst/>
                    </a:prstGeom>
                    <a:noFill/>
                    <a:ln>
                      <a:noFill/>
                    </a:ln>
                  </pic:spPr>
                </pic:pic>
              </a:graphicData>
            </a:graphic>
            <wp14:sizeRelH relativeFrom="page">
              <wp14:pctWidth>0</wp14:pctWidth>
            </wp14:sizeRelH>
            <wp14:sizeRelV relativeFrom="page">
              <wp14:pctHeight>0</wp14:pctHeight>
            </wp14:sizeRelV>
          </wp:anchor>
        </w:drawing>
      </w:r>
      <w:r w:rsidR="004052DE" w:rsidRPr="001032A9">
        <w:rPr>
          <w:rFonts w:cstheme="minorHAnsi"/>
          <w:b/>
          <w:bCs/>
          <w:noProof/>
          <w:color w:val="02436F"/>
          <w:sz w:val="32"/>
          <w:szCs w:val="32"/>
        </w:rPr>
        <w:drawing>
          <wp:anchor distT="0" distB="0" distL="114300" distR="114300" simplePos="0" relativeHeight="251662336" behindDoc="1" locked="0" layoutInCell="1" allowOverlap="1" wp14:anchorId="2E8B7D31" wp14:editId="30D38501">
            <wp:simplePos x="0" y="0"/>
            <wp:positionH relativeFrom="column">
              <wp:posOffset>-77964</wp:posOffset>
            </wp:positionH>
            <wp:positionV relativeFrom="paragraph">
              <wp:posOffset>372745</wp:posOffset>
            </wp:positionV>
            <wp:extent cx="2292350" cy="731520"/>
            <wp:effectExtent l="0" t="0" r="6350" b="5080"/>
            <wp:wrapTight wrapText="bothSides">
              <wp:wrapPolygon edited="0">
                <wp:start x="0" y="0"/>
                <wp:lineTo x="0" y="21375"/>
                <wp:lineTo x="21540" y="21375"/>
                <wp:lineTo x="21540"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350" cy="731520"/>
                    </a:xfrm>
                    <a:prstGeom prst="rect">
                      <a:avLst/>
                    </a:prstGeom>
                    <a:noFill/>
                  </pic:spPr>
                </pic:pic>
              </a:graphicData>
            </a:graphic>
          </wp:anchor>
        </w:drawing>
      </w:r>
      <w:r w:rsidRPr="00A60801">
        <w:rPr>
          <w:rFonts w:cstheme="minorHAnsi"/>
          <w:b/>
          <w:bCs/>
          <w:color w:val="02436F"/>
          <w:sz w:val="32"/>
          <w:szCs w:val="32"/>
        </w:rPr>
        <w:t>Myanmar</w:t>
      </w:r>
    </w:p>
    <w:p w14:paraId="5FC358C9" w14:textId="77777777" w:rsidR="008C63F0" w:rsidRPr="001032A9" w:rsidRDefault="008C63F0" w:rsidP="008C63F0">
      <w:pPr>
        <w:jc w:val="both"/>
        <w:rPr>
          <w:rFonts w:eastAsia="Calibri" w:cstheme="minorHAnsi"/>
        </w:rPr>
      </w:pPr>
    </w:p>
    <w:p w14:paraId="7608E2C7" w14:textId="77777777" w:rsidR="004052DE" w:rsidRPr="001032A9" w:rsidRDefault="004052DE" w:rsidP="008C63F0">
      <w:pPr>
        <w:jc w:val="both"/>
        <w:rPr>
          <w:rFonts w:eastAsia="Calibri" w:cstheme="minorHAnsi"/>
        </w:rPr>
      </w:pPr>
    </w:p>
    <w:p w14:paraId="1DE0E879" w14:textId="77777777" w:rsidR="004052DE" w:rsidRPr="001032A9" w:rsidRDefault="004052DE" w:rsidP="008C63F0">
      <w:pPr>
        <w:jc w:val="both"/>
        <w:rPr>
          <w:rFonts w:eastAsia="Calibri" w:cstheme="minorHAnsi"/>
        </w:rPr>
      </w:pPr>
    </w:p>
    <w:p w14:paraId="64320157" w14:textId="6A7ECF3B" w:rsidR="008C63F0" w:rsidRPr="001032A9" w:rsidRDefault="008C63F0" w:rsidP="008C63F0">
      <w:pPr>
        <w:jc w:val="both"/>
        <w:rPr>
          <w:rFonts w:eastAsia="Calibri" w:cstheme="minorHAnsi"/>
        </w:rPr>
      </w:pPr>
      <w:r w:rsidRPr="001032A9">
        <w:rPr>
          <w:rFonts w:eastAsia="Calibri" w:cstheme="minorHAnsi"/>
        </w:rPr>
        <w:t xml:space="preserve">ECPAT International has developed </w:t>
      </w:r>
      <w:hyperlink r:id="rId9" w:history="1">
        <w:r w:rsidRPr="001032A9">
          <w:rPr>
            <w:rFonts w:eastAsia="Calibri" w:cstheme="minorHAnsi"/>
            <w:color w:val="0563C1"/>
            <w:u w:val="single"/>
          </w:rPr>
          <w:t>a legal checklist</w:t>
        </w:r>
      </w:hyperlink>
      <w:r w:rsidRPr="001032A9">
        <w:rPr>
          <w:rFonts w:eastAsia="Calibri" w:cstheme="minorHAnsi"/>
        </w:rPr>
        <w:t xml:space="preserve"> for governments providing guidance for legal interventions and measures to adopt in order to improve their national legal frameworks. This will help to effectively address the crime of sexual exploitation of children in travel and tourism, including its online elements. </w:t>
      </w:r>
    </w:p>
    <w:p w14:paraId="6D6A5D24" w14:textId="6FEA004A" w:rsidR="008C63F0" w:rsidRPr="001032A9" w:rsidRDefault="008C63F0" w:rsidP="008C63F0">
      <w:pPr>
        <w:jc w:val="both"/>
        <w:rPr>
          <w:rFonts w:eastAsia="Calibri" w:cstheme="minorHAnsi"/>
        </w:rPr>
      </w:pPr>
      <w:r w:rsidRPr="001032A9">
        <w:rPr>
          <w:rFonts w:eastAsia="Calibri" w:cstheme="minorHAnsi"/>
        </w:rPr>
        <w:t xml:space="preserve">The legal checklist was developed based on the recommendations of the first </w:t>
      </w:r>
      <w:hyperlink r:id="rId10" w:history="1">
        <w:r w:rsidRPr="001032A9">
          <w:rPr>
            <w:rStyle w:val="Collegamentoipertestuale"/>
            <w:rFonts w:eastAsia="Calibri" w:cstheme="minorHAnsi"/>
          </w:rPr>
          <w:t>Global Study</w:t>
        </w:r>
      </w:hyperlink>
      <w:r w:rsidRPr="001032A9">
        <w:rPr>
          <w:rFonts w:eastAsia="Calibri" w:cstheme="minorHAnsi"/>
        </w:rPr>
        <w:t xml:space="preserve"> on sexual exploitation of children in the context of travel and tourism. Following the development of this legal checklist, ECPAT International conducted country legal analysis for</w:t>
      </w:r>
      <w:r w:rsidR="009F256D">
        <w:rPr>
          <w:rFonts w:eastAsia="Calibri" w:cstheme="minorHAnsi"/>
        </w:rPr>
        <w:t xml:space="preserve"> Myanmar</w:t>
      </w:r>
      <w:r w:rsidRPr="001032A9">
        <w:rPr>
          <w:rFonts w:eastAsia="Calibri" w:cstheme="minorHAnsi"/>
        </w:rPr>
        <w:t xml:space="preserve"> and other countries in </w:t>
      </w:r>
      <w:r w:rsidR="00DF78CF" w:rsidRPr="001032A9">
        <w:rPr>
          <w:rFonts w:eastAsia="Calibri" w:cstheme="minorHAnsi"/>
        </w:rPr>
        <w:t>Southeast Asia</w:t>
      </w:r>
      <w:r w:rsidRPr="001032A9">
        <w:rPr>
          <w:rFonts w:eastAsia="Calibri" w:cstheme="minorHAnsi"/>
        </w:rPr>
        <w:t xml:space="preserve">, as well as </w:t>
      </w:r>
      <w:r w:rsidR="00DF78CF" w:rsidRPr="001032A9">
        <w:rPr>
          <w:rFonts w:eastAsia="Calibri" w:cstheme="minorHAnsi"/>
        </w:rPr>
        <w:t>Africa</w:t>
      </w:r>
      <w:r w:rsidRPr="001032A9">
        <w:rPr>
          <w:rFonts w:eastAsia="Calibri" w:cstheme="minorHAnsi"/>
        </w:rPr>
        <w:t xml:space="preserve">, Asia and the Americas. </w:t>
      </w:r>
    </w:p>
    <w:p w14:paraId="2484158E" w14:textId="77777777" w:rsidR="008C63F0" w:rsidRPr="001032A9" w:rsidRDefault="008C63F0" w:rsidP="008C63F0">
      <w:pPr>
        <w:jc w:val="both"/>
        <w:rPr>
          <w:rFonts w:eastAsia="Calibri" w:cstheme="minorHAnsi"/>
        </w:rPr>
      </w:pPr>
      <w:r w:rsidRPr="001032A9">
        <w:rPr>
          <w:rFonts w:eastAsia="Calibri" w:cstheme="minorHAnsi"/>
        </w:rPr>
        <w:t xml:space="preserve">The country analysis serves as a baseline to indicate and track the implementation status of the legal interventions within and across the four regions. It provides governments with clear directions for improving their actions with respect to child protection against sexual exploitation in the context of travel and tourism, including its online elements. </w:t>
      </w:r>
    </w:p>
    <w:p w14:paraId="7A3BBC94" w14:textId="77777777" w:rsidR="008C63F0" w:rsidRPr="001032A9" w:rsidRDefault="008C63F0" w:rsidP="008C63F0">
      <w:pPr>
        <w:spacing w:line="240" w:lineRule="auto"/>
        <w:jc w:val="both"/>
        <w:rPr>
          <w:rFonts w:eastAsia="Calibri" w:cstheme="minorHAnsi"/>
        </w:rPr>
      </w:pPr>
      <w:r w:rsidRPr="001032A9">
        <w:rPr>
          <w:rFonts w:eastAsia="Calibri" w:cstheme="minorHAnsi"/>
        </w:rPr>
        <w:t xml:space="preserve">The table below allows easy assessment of existing legislation against the 24 measures of the legal checklist. It will be updated as the laws and policies change. An </w:t>
      </w:r>
      <w:hyperlink r:id="rId11" w:history="1">
        <w:r w:rsidRPr="001032A9">
          <w:rPr>
            <w:rFonts w:eastAsia="Calibri" w:cstheme="minorHAnsi"/>
            <w:color w:val="0563C1"/>
            <w:u w:val="single"/>
          </w:rPr>
          <w:t>explanatory note</w:t>
        </w:r>
      </w:hyperlink>
      <w:r w:rsidRPr="001032A9">
        <w:rPr>
          <w:rFonts w:eastAsia="Calibri" w:cstheme="minorHAnsi"/>
        </w:rPr>
        <w:t xml:space="preserve"> and an </w:t>
      </w:r>
      <w:hyperlink r:id="rId12" w:history="1">
        <w:r w:rsidRPr="001032A9">
          <w:rPr>
            <w:rFonts w:eastAsia="Calibri" w:cstheme="minorHAnsi"/>
            <w:color w:val="0563C1"/>
            <w:u w:val="single"/>
          </w:rPr>
          <w:t>assessment matrix</w:t>
        </w:r>
      </w:hyperlink>
      <w:r w:rsidRPr="001032A9">
        <w:rPr>
          <w:rFonts w:eastAsia="Calibri" w:cstheme="minorHAnsi"/>
        </w:rPr>
        <w:t xml:space="preserve"> can be consulted for further reference.</w:t>
      </w:r>
    </w:p>
    <w:p w14:paraId="60BE6B5B" w14:textId="77777777" w:rsidR="008C63F0" w:rsidRPr="001032A9" w:rsidRDefault="008C63F0" w:rsidP="008C63F0">
      <w:pPr>
        <w:rPr>
          <w:rFonts w:cstheme="minorHAnsi"/>
        </w:rPr>
      </w:pPr>
    </w:p>
    <w:tbl>
      <w:tblPr>
        <w:tblStyle w:val="Grigliatabella"/>
        <w:tblW w:w="14175" w:type="dxa"/>
        <w:tblInd w:w="-572" w:type="dxa"/>
        <w:tblLayout w:type="fixed"/>
        <w:tblLook w:val="0600" w:firstRow="0" w:lastRow="0" w:firstColumn="0" w:lastColumn="0" w:noHBand="1" w:noVBand="1"/>
      </w:tblPr>
      <w:tblGrid>
        <w:gridCol w:w="425"/>
        <w:gridCol w:w="5529"/>
        <w:gridCol w:w="1701"/>
        <w:gridCol w:w="6520"/>
      </w:tblGrid>
      <w:tr w:rsidR="00A21390" w:rsidRPr="001032A9" w14:paraId="415AEFF0" w14:textId="77777777" w:rsidTr="00A21390">
        <w:trPr>
          <w:trHeight w:val="460"/>
        </w:trPr>
        <w:tc>
          <w:tcPr>
            <w:tcW w:w="425" w:type="dxa"/>
          </w:tcPr>
          <w:p w14:paraId="1C105EC0" w14:textId="77777777" w:rsidR="00A21390" w:rsidRPr="001032A9" w:rsidRDefault="00A21390" w:rsidP="00C33EAA">
            <w:pPr>
              <w:spacing w:after="160"/>
              <w:rPr>
                <w:rFonts w:cstheme="minorHAnsi"/>
                <w:b/>
                <w:bCs/>
                <w:lang w:val="en-GB"/>
              </w:rPr>
            </w:pPr>
          </w:p>
        </w:tc>
        <w:tc>
          <w:tcPr>
            <w:tcW w:w="5529" w:type="dxa"/>
          </w:tcPr>
          <w:p w14:paraId="3B0FBFD2" w14:textId="77777777" w:rsidR="00A21390" w:rsidRPr="001032A9" w:rsidRDefault="00A21390" w:rsidP="00C33EAA">
            <w:pPr>
              <w:spacing w:after="160"/>
              <w:rPr>
                <w:rFonts w:cstheme="minorHAnsi"/>
                <w:b/>
                <w:bCs/>
                <w:lang w:val="en-GB"/>
              </w:rPr>
            </w:pPr>
            <w:r w:rsidRPr="001032A9">
              <w:rPr>
                <w:rFonts w:cstheme="minorHAnsi"/>
                <w:b/>
                <w:bCs/>
                <w:lang w:val="en-GB"/>
              </w:rPr>
              <w:t>Recommendations</w:t>
            </w:r>
          </w:p>
        </w:tc>
        <w:tc>
          <w:tcPr>
            <w:tcW w:w="1701" w:type="dxa"/>
          </w:tcPr>
          <w:p w14:paraId="663EAD7C" w14:textId="77777777" w:rsidR="00A21390" w:rsidRPr="001032A9" w:rsidRDefault="00A21390" w:rsidP="00C33EAA">
            <w:pPr>
              <w:rPr>
                <w:rFonts w:cstheme="minorHAnsi"/>
                <w:b/>
                <w:bCs/>
                <w:lang w:val="en-GB"/>
              </w:rPr>
            </w:pPr>
            <w:r w:rsidRPr="001032A9">
              <w:rPr>
                <w:rFonts w:cstheme="minorHAnsi"/>
                <w:b/>
                <w:bCs/>
                <w:lang w:val="en-GB"/>
              </w:rPr>
              <w:t>Implemented</w:t>
            </w:r>
          </w:p>
        </w:tc>
        <w:tc>
          <w:tcPr>
            <w:tcW w:w="6520" w:type="dxa"/>
          </w:tcPr>
          <w:p w14:paraId="0D9251DB" w14:textId="77777777" w:rsidR="00A21390" w:rsidRPr="001032A9" w:rsidRDefault="00A21390" w:rsidP="00C33EAA">
            <w:pPr>
              <w:rPr>
                <w:rFonts w:cstheme="minorHAnsi"/>
                <w:b/>
                <w:bCs/>
                <w:lang w:val="en-GB"/>
              </w:rPr>
            </w:pPr>
            <w:r w:rsidRPr="001032A9">
              <w:rPr>
                <w:rFonts w:cstheme="minorHAnsi"/>
                <w:b/>
                <w:bCs/>
                <w:lang w:val="en-GB"/>
              </w:rPr>
              <w:t>Legislation</w:t>
            </w:r>
          </w:p>
        </w:tc>
      </w:tr>
      <w:tr w:rsidR="00A21390" w:rsidRPr="001032A9" w14:paraId="32F94587" w14:textId="77777777" w:rsidTr="00A21390">
        <w:trPr>
          <w:trHeight w:val="1740"/>
        </w:trPr>
        <w:tc>
          <w:tcPr>
            <w:tcW w:w="425" w:type="dxa"/>
          </w:tcPr>
          <w:p w14:paraId="58B39890" w14:textId="77777777" w:rsidR="00A21390" w:rsidRPr="001032A9" w:rsidRDefault="00A21390" w:rsidP="00C33EAA">
            <w:pPr>
              <w:pStyle w:val="Paragrafoelenco"/>
              <w:numPr>
                <w:ilvl w:val="0"/>
                <w:numId w:val="2"/>
              </w:numPr>
              <w:spacing w:after="160" w:line="240" w:lineRule="auto"/>
              <w:rPr>
                <w:rFonts w:asciiTheme="minorHAnsi" w:hAnsiTheme="minorHAnsi" w:cstheme="minorHAnsi"/>
                <w:lang w:val="en-GB"/>
              </w:rPr>
            </w:pPr>
          </w:p>
        </w:tc>
        <w:tc>
          <w:tcPr>
            <w:tcW w:w="5529" w:type="dxa"/>
          </w:tcPr>
          <w:p w14:paraId="7CF0A600" w14:textId="77777777" w:rsidR="00A21390" w:rsidRPr="001032A9" w:rsidRDefault="00A21390" w:rsidP="00C33EAA">
            <w:pPr>
              <w:spacing w:after="160"/>
              <w:rPr>
                <w:rFonts w:cstheme="minorHAnsi"/>
                <w:lang w:val="en-GB"/>
              </w:rPr>
            </w:pPr>
            <w:r w:rsidRPr="001032A9">
              <w:rPr>
                <w:rFonts w:eastAsia="Calibri" w:cstheme="minorHAnsi"/>
              </w:rPr>
              <w:t xml:space="preserve">Establish by law </w:t>
            </w:r>
            <w:r w:rsidRPr="001032A9">
              <w:rPr>
                <w:rFonts w:eastAsia="Calibri" w:cstheme="minorHAnsi"/>
                <w:b/>
              </w:rPr>
              <w:t>extra-territorial jurisdiction</w:t>
            </w:r>
            <w:r w:rsidRPr="001032A9">
              <w:rPr>
                <w:rFonts w:eastAsia="Calibri" w:cstheme="minorHAnsi"/>
              </w:rPr>
              <w:t>, within the parameters of Article 4 OPSC, for all offences of sexual exploitation of children, including those occurring in the online environment.</w:t>
            </w:r>
          </w:p>
        </w:tc>
        <w:tc>
          <w:tcPr>
            <w:tcW w:w="1701" w:type="dxa"/>
          </w:tcPr>
          <w:p w14:paraId="371D3819" w14:textId="2EF39DC9" w:rsidR="00A21390" w:rsidRPr="001032A9" w:rsidRDefault="00A60801" w:rsidP="00C33EAA">
            <w:pPr>
              <w:rPr>
                <w:rFonts w:cstheme="minorHAnsi"/>
                <w:bCs/>
                <w:color w:val="000000" w:themeColor="text1"/>
                <w:lang w:val="en-GB"/>
              </w:rPr>
            </w:pPr>
            <w:r>
              <w:rPr>
                <w:rFonts w:cstheme="minorHAnsi"/>
                <w:bCs/>
                <w:color w:val="000000" w:themeColor="text1"/>
                <w:lang w:val="en-GB"/>
              </w:rPr>
              <w:t>Yes</w:t>
            </w:r>
          </w:p>
        </w:tc>
        <w:tc>
          <w:tcPr>
            <w:tcW w:w="6520" w:type="dxa"/>
          </w:tcPr>
          <w:p w14:paraId="25E81A43" w14:textId="77777777" w:rsidR="00A60801" w:rsidRPr="00A60801" w:rsidRDefault="00A60801" w:rsidP="00A60801">
            <w:pPr>
              <w:rPr>
                <w:rFonts w:cstheme="minorHAnsi"/>
                <w:lang w:val="en-GB"/>
              </w:rPr>
            </w:pPr>
            <w:r w:rsidRPr="00A60801">
              <w:rPr>
                <w:rFonts w:cstheme="minorHAnsi"/>
                <w:lang w:val="en-GB"/>
              </w:rPr>
              <w:t>Section 4 of the Penal Code states that “the provisions of this Code apply also to any offence committed by any citizen of the Union wherever he may be.”</w:t>
            </w:r>
          </w:p>
          <w:p w14:paraId="06E5A50B" w14:textId="54443E5A" w:rsidR="00A21390" w:rsidRPr="001032A9" w:rsidRDefault="00A60801" w:rsidP="00A60801">
            <w:pPr>
              <w:rPr>
                <w:rFonts w:cstheme="minorHAnsi"/>
                <w:lang w:val="en-GB"/>
              </w:rPr>
            </w:pPr>
            <w:r w:rsidRPr="00A60801">
              <w:rPr>
                <w:rFonts w:cstheme="minorHAnsi"/>
                <w:lang w:val="en-GB"/>
              </w:rPr>
              <w:t>Myanmar Criminal Procedure Code, article 188: When a citizen of the Union commits an offence at any place without and beyond the limits of the Union of Myanmar, he may be dealt with in respect of such offence as if it had been committed at any place within the Republic of the Union of Myanmar, at Which he may be found.</w:t>
            </w:r>
          </w:p>
        </w:tc>
      </w:tr>
      <w:tr w:rsidR="00A21390" w:rsidRPr="001032A9" w14:paraId="022EBF10" w14:textId="77777777" w:rsidTr="00A21390">
        <w:trPr>
          <w:trHeight w:val="1740"/>
        </w:trPr>
        <w:tc>
          <w:tcPr>
            <w:tcW w:w="425" w:type="dxa"/>
          </w:tcPr>
          <w:p w14:paraId="1FED1E2B" w14:textId="77777777" w:rsidR="00A21390" w:rsidRPr="001032A9" w:rsidRDefault="00A21390" w:rsidP="00C33EAA">
            <w:pPr>
              <w:pStyle w:val="Paragrafoelenco"/>
              <w:numPr>
                <w:ilvl w:val="0"/>
                <w:numId w:val="2"/>
              </w:numPr>
              <w:spacing w:after="160" w:line="240" w:lineRule="auto"/>
              <w:rPr>
                <w:rFonts w:asciiTheme="minorHAnsi" w:hAnsiTheme="minorHAnsi" w:cstheme="minorHAnsi"/>
                <w:lang w:val="en-GB"/>
              </w:rPr>
            </w:pPr>
          </w:p>
        </w:tc>
        <w:tc>
          <w:tcPr>
            <w:tcW w:w="5529" w:type="dxa"/>
          </w:tcPr>
          <w:p w14:paraId="66AB0E18" w14:textId="77777777" w:rsidR="00A21390" w:rsidRPr="001032A9" w:rsidRDefault="00A21390" w:rsidP="00C33EAA">
            <w:pPr>
              <w:spacing w:after="160"/>
              <w:rPr>
                <w:rFonts w:cstheme="minorHAnsi"/>
                <w:lang w:val="en-GB"/>
              </w:rPr>
            </w:pPr>
            <w:r w:rsidRPr="001032A9">
              <w:rPr>
                <w:rFonts w:eastAsia="Calibri" w:cstheme="minorHAnsi"/>
              </w:rPr>
              <w:t xml:space="preserve">Include in extradition treaties the sexual exploitation of children as </w:t>
            </w:r>
            <w:r w:rsidRPr="001032A9">
              <w:rPr>
                <w:rFonts w:eastAsia="Calibri" w:cstheme="minorHAnsi"/>
                <w:b/>
              </w:rPr>
              <w:t>extraditable offences</w:t>
            </w:r>
            <w:r w:rsidRPr="001032A9">
              <w:rPr>
                <w:rFonts w:eastAsia="Calibri" w:cstheme="minorHAnsi"/>
              </w:rPr>
              <w:t xml:space="preserve"> and apply when appropriate the rules of article 5 </w:t>
            </w:r>
            <w:proofErr w:type="gramStart"/>
            <w:r w:rsidRPr="001032A9">
              <w:rPr>
                <w:rFonts w:eastAsia="Calibri" w:cstheme="minorHAnsi"/>
              </w:rPr>
              <w:t>OPSC,  regardless</w:t>
            </w:r>
            <w:proofErr w:type="gramEnd"/>
            <w:r w:rsidRPr="001032A9">
              <w:rPr>
                <w:rFonts w:eastAsia="Calibri" w:cstheme="minorHAnsi"/>
              </w:rPr>
              <w:t xml:space="preserve"> the nationality of the (alleged) offender.</w:t>
            </w:r>
          </w:p>
        </w:tc>
        <w:tc>
          <w:tcPr>
            <w:tcW w:w="1701" w:type="dxa"/>
          </w:tcPr>
          <w:p w14:paraId="4B488A95" w14:textId="77777777" w:rsidR="00A21390" w:rsidRPr="001032A9" w:rsidDel="009C2987" w:rsidRDefault="00A21390" w:rsidP="00C33EAA">
            <w:pPr>
              <w:rPr>
                <w:rFonts w:cstheme="minorHAnsi"/>
                <w:bCs/>
                <w:color w:val="000000" w:themeColor="text1"/>
                <w:lang w:val="en-GB"/>
              </w:rPr>
            </w:pPr>
            <w:r w:rsidRPr="001032A9">
              <w:rPr>
                <w:rFonts w:cstheme="minorHAnsi"/>
                <w:bCs/>
                <w:color w:val="000000" w:themeColor="text1"/>
                <w:lang w:val="en-GB"/>
              </w:rPr>
              <w:t>Partially</w:t>
            </w:r>
          </w:p>
        </w:tc>
        <w:tc>
          <w:tcPr>
            <w:tcW w:w="6520" w:type="dxa"/>
          </w:tcPr>
          <w:p w14:paraId="6F4A1A5E" w14:textId="77777777" w:rsidR="00A60801" w:rsidRPr="00A60801" w:rsidRDefault="00A60801" w:rsidP="00A60801">
            <w:pPr>
              <w:rPr>
                <w:rFonts w:eastAsia="Times New Roman" w:cstheme="minorHAnsi"/>
                <w:lang w:val="en-GB"/>
              </w:rPr>
            </w:pPr>
            <w:r w:rsidRPr="00A60801">
              <w:rPr>
                <w:rFonts w:eastAsia="Times New Roman" w:cstheme="minorHAnsi"/>
                <w:lang w:val="en-GB"/>
              </w:rPr>
              <w:t>The Myanmar Extradition Law lists the following extraditable offences within the penal code that could apply to cases of sexual exploitation of children (though they do not all explicitly mention children, nor exploitation but rather prostitution and/or kidnapping)</w:t>
            </w:r>
          </w:p>
          <w:p w14:paraId="08E282E2" w14:textId="77777777" w:rsidR="00A60801" w:rsidRPr="00A60801" w:rsidRDefault="00A60801" w:rsidP="00A60801">
            <w:pPr>
              <w:rPr>
                <w:rFonts w:eastAsia="Times New Roman" w:cstheme="minorHAnsi"/>
                <w:lang w:val="en-GB"/>
              </w:rPr>
            </w:pPr>
            <w:r w:rsidRPr="00A60801">
              <w:rPr>
                <w:rFonts w:eastAsia="Times New Roman" w:cstheme="minorHAnsi"/>
                <w:lang w:val="en-GB"/>
              </w:rPr>
              <w:t>361, 366, 366A, 366B, 370 to 373.</w:t>
            </w:r>
          </w:p>
          <w:p w14:paraId="74C3DFF4" w14:textId="77777777" w:rsidR="00A60801" w:rsidRPr="00A60801" w:rsidRDefault="00A60801" w:rsidP="00A60801">
            <w:pPr>
              <w:rPr>
                <w:rFonts w:eastAsia="Times New Roman" w:cstheme="minorHAnsi"/>
                <w:lang w:val="en-GB"/>
              </w:rPr>
            </w:pPr>
          </w:p>
          <w:p w14:paraId="19739B43" w14:textId="77777777" w:rsidR="00A60801" w:rsidRPr="00A60801" w:rsidRDefault="00A60801" w:rsidP="00A60801">
            <w:pPr>
              <w:rPr>
                <w:rFonts w:eastAsia="Times New Roman" w:cstheme="minorHAnsi"/>
                <w:lang w:val="en-GB"/>
              </w:rPr>
            </w:pPr>
            <w:r w:rsidRPr="00A60801">
              <w:rPr>
                <w:rFonts w:eastAsia="Times New Roman" w:cstheme="minorHAnsi"/>
                <w:lang w:val="en-GB"/>
              </w:rPr>
              <w:t>According to Section 67 of Child Right Law 2019, offences under section 66 of this law, such as sexual exploitation on child; transfer the body part of child for benefit or forced labour; sale, offer, transfer and receipt in order for forced labour; prostituting; offering, obtaining, purchase or support for prostitution; making and distribution of child pornography or offering, sale, possession, import or export for the purpose of pornography, shall be assumed as extraditable offences in accordance with agreement of protocol members of international convention related with Child Right.</w:t>
            </w:r>
          </w:p>
          <w:p w14:paraId="03182A7E" w14:textId="77777777" w:rsidR="00A60801" w:rsidRPr="00A60801" w:rsidRDefault="00A60801" w:rsidP="00A60801">
            <w:pPr>
              <w:rPr>
                <w:rFonts w:eastAsia="Times New Roman" w:cstheme="minorHAnsi"/>
                <w:lang w:val="en-GB"/>
              </w:rPr>
            </w:pPr>
          </w:p>
          <w:p w14:paraId="5657D261" w14:textId="5122CC62" w:rsidR="00A21390" w:rsidRPr="001032A9" w:rsidRDefault="00A60801" w:rsidP="00A60801">
            <w:pPr>
              <w:rPr>
                <w:rFonts w:cstheme="minorHAnsi"/>
                <w:lang w:val="en-GB"/>
              </w:rPr>
            </w:pPr>
            <w:r w:rsidRPr="00A60801">
              <w:rPr>
                <w:rFonts w:eastAsia="Times New Roman" w:cstheme="minorHAnsi"/>
                <w:lang w:val="en-GB"/>
              </w:rPr>
              <w:t xml:space="preserve">However, with reference to Section 6(a) of Myanmar Extradition Act 2017, Myanmar may deny </w:t>
            </w:r>
            <w:proofErr w:type="gramStart"/>
            <w:r w:rsidRPr="00A60801">
              <w:rPr>
                <w:rFonts w:eastAsia="Times New Roman" w:cstheme="minorHAnsi"/>
                <w:lang w:val="en-GB"/>
              </w:rPr>
              <w:t>to extradite</w:t>
            </w:r>
            <w:proofErr w:type="gramEnd"/>
            <w:r w:rsidRPr="00A60801">
              <w:rPr>
                <w:rFonts w:eastAsia="Times New Roman" w:cstheme="minorHAnsi"/>
                <w:lang w:val="en-GB"/>
              </w:rPr>
              <w:t xml:space="preserve"> its nationals.</w:t>
            </w:r>
          </w:p>
        </w:tc>
      </w:tr>
      <w:tr w:rsidR="00A60801" w:rsidRPr="001032A9" w14:paraId="7F94967F" w14:textId="77777777" w:rsidTr="00A21390">
        <w:trPr>
          <w:trHeight w:val="920"/>
        </w:trPr>
        <w:tc>
          <w:tcPr>
            <w:tcW w:w="425" w:type="dxa"/>
          </w:tcPr>
          <w:p w14:paraId="56648AE6" w14:textId="77777777" w:rsidR="00A60801" w:rsidRPr="001032A9" w:rsidRDefault="00A60801" w:rsidP="00A60801">
            <w:pPr>
              <w:pStyle w:val="Paragrafoelenco"/>
              <w:numPr>
                <w:ilvl w:val="0"/>
                <w:numId w:val="2"/>
              </w:numPr>
              <w:spacing w:after="160" w:line="240" w:lineRule="auto"/>
              <w:rPr>
                <w:rFonts w:asciiTheme="minorHAnsi" w:hAnsiTheme="minorHAnsi" w:cstheme="minorHAnsi"/>
                <w:lang w:val="en-GB"/>
              </w:rPr>
            </w:pPr>
          </w:p>
        </w:tc>
        <w:tc>
          <w:tcPr>
            <w:tcW w:w="5529" w:type="dxa"/>
          </w:tcPr>
          <w:p w14:paraId="6A317B56" w14:textId="77777777" w:rsidR="00A60801" w:rsidRPr="001032A9" w:rsidRDefault="00A60801" w:rsidP="00A60801">
            <w:pPr>
              <w:spacing w:after="160"/>
              <w:rPr>
                <w:rFonts w:cstheme="minorHAnsi"/>
                <w:lang w:val="en-GB"/>
              </w:rPr>
            </w:pPr>
            <w:r w:rsidRPr="001032A9">
              <w:rPr>
                <w:rFonts w:eastAsia="Calibri" w:cstheme="minorHAnsi"/>
              </w:rPr>
              <w:t xml:space="preserve">Do NOT require the principle of </w:t>
            </w:r>
            <w:r w:rsidRPr="001032A9">
              <w:rPr>
                <w:rFonts w:eastAsia="Calibri" w:cstheme="minorHAnsi"/>
                <w:b/>
              </w:rPr>
              <w:t>double criminality</w:t>
            </w:r>
            <w:r w:rsidRPr="001032A9">
              <w:rPr>
                <w:rFonts w:eastAsia="Calibri" w:cstheme="minorHAnsi"/>
              </w:rPr>
              <w:t xml:space="preserve"> for proceeding with extraterritorial jurisdiction or extradition for sexual offences against children.</w:t>
            </w:r>
          </w:p>
        </w:tc>
        <w:tc>
          <w:tcPr>
            <w:tcW w:w="1701" w:type="dxa"/>
          </w:tcPr>
          <w:p w14:paraId="075584A9" w14:textId="5BC25592" w:rsidR="00A60801" w:rsidRPr="001032A9" w:rsidRDefault="00A60801" w:rsidP="00A60801">
            <w:pPr>
              <w:rPr>
                <w:rFonts w:cstheme="minorHAnsi"/>
                <w:bCs/>
                <w:color w:val="000000" w:themeColor="text1"/>
                <w:lang w:val="en-GB"/>
              </w:rPr>
            </w:pPr>
            <w:r>
              <w:rPr>
                <w:rFonts w:cstheme="minorHAnsi"/>
                <w:bCs/>
                <w:color w:val="000000" w:themeColor="text1"/>
                <w:lang w:val="en-GB"/>
              </w:rPr>
              <w:t>Yes</w:t>
            </w:r>
          </w:p>
        </w:tc>
        <w:tc>
          <w:tcPr>
            <w:tcW w:w="6520" w:type="dxa"/>
          </w:tcPr>
          <w:p w14:paraId="76CF08E1" w14:textId="5D220ABC" w:rsidR="00A60801" w:rsidRPr="00A60801" w:rsidRDefault="00A60801" w:rsidP="00A60801">
            <w:pPr>
              <w:rPr>
                <w:rFonts w:cstheme="minorHAnsi"/>
                <w:lang w:val="en-GB"/>
              </w:rPr>
            </w:pPr>
            <w:r w:rsidRPr="00A60801">
              <w:rPr>
                <w:rFonts w:cstheme="minorHAnsi"/>
                <w:lang w:val="en-GB"/>
              </w:rPr>
              <w:t>There is no principle of double criminality for jurisdiction and/or extradition.</w:t>
            </w:r>
          </w:p>
        </w:tc>
      </w:tr>
      <w:tr w:rsidR="00A60801" w:rsidRPr="001032A9" w14:paraId="6F0763EB" w14:textId="77777777" w:rsidTr="00A21390">
        <w:trPr>
          <w:trHeight w:val="20"/>
        </w:trPr>
        <w:tc>
          <w:tcPr>
            <w:tcW w:w="425" w:type="dxa"/>
          </w:tcPr>
          <w:p w14:paraId="025E8299" w14:textId="77777777" w:rsidR="00A60801" w:rsidRPr="001032A9" w:rsidRDefault="00A60801" w:rsidP="00A60801">
            <w:pPr>
              <w:pStyle w:val="Paragrafoelenco"/>
              <w:numPr>
                <w:ilvl w:val="0"/>
                <w:numId w:val="2"/>
              </w:numPr>
              <w:spacing w:after="160" w:line="240" w:lineRule="auto"/>
              <w:rPr>
                <w:rFonts w:asciiTheme="minorHAnsi" w:hAnsiTheme="minorHAnsi" w:cstheme="minorHAnsi"/>
                <w:lang w:val="en-GB"/>
              </w:rPr>
            </w:pPr>
          </w:p>
        </w:tc>
        <w:tc>
          <w:tcPr>
            <w:tcW w:w="5529" w:type="dxa"/>
          </w:tcPr>
          <w:p w14:paraId="7EC4CFD1" w14:textId="77777777" w:rsidR="00A60801" w:rsidRPr="001032A9" w:rsidRDefault="00A60801" w:rsidP="00A60801">
            <w:pPr>
              <w:spacing w:after="160"/>
              <w:rPr>
                <w:rFonts w:cstheme="minorHAnsi"/>
                <w:lang w:val="en-GB"/>
              </w:rPr>
            </w:pPr>
            <w:r w:rsidRPr="001032A9">
              <w:rPr>
                <w:rFonts w:eastAsia="Calibri" w:cstheme="minorHAnsi"/>
              </w:rPr>
              <w:t xml:space="preserve">Abolish </w:t>
            </w:r>
            <w:r w:rsidRPr="001032A9">
              <w:rPr>
                <w:rFonts w:eastAsia="Calibri" w:cstheme="minorHAnsi"/>
                <w:b/>
              </w:rPr>
              <w:t>statutory limitations</w:t>
            </w:r>
            <w:r w:rsidRPr="001032A9">
              <w:rPr>
                <w:rFonts w:eastAsia="Calibri" w:cstheme="minorHAnsi"/>
              </w:rPr>
              <w:t xml:space="preserve"> for the prosecution of ALL offences of sexual exploitation of children.</w:t>
            </w:r>
          </w:p>
        </w:tc>
        <w:tc>
          <w:tcPr>
            <w:tcW w:w="1701" w:type="dxa"/>
          </w:tcPr>
          <w:p w14:paraId="5F657385" w14:textId="3517C3B4" w:rsidR="00A60801" w:rsidRPr="001032A9" w:rsidRDefault="00A60801" w:rsidP="00A60801">
            <w:pPr>
              <w:rPr>
                <w:rFonts w:cstheme="minorHAnsi"/>
                <w:bCs/>
                <w:color w:val="000000" w:themeColor="text1"/>
                <w:lang w:val="en-GB"/>
              </w:rPr>
            </w:pPr>
            <w:r w:rsidRPr="001032A9">
              <w:rPr>
                <w:rFonts w:cstheme="minorHAnsi"/>
                <w:bCs/>
                <w:color w:val="000000" w:themeColor="text1"/>
                <w:lang w:val="en-GB"/>
              </w:rPr>
              <w:t>Yes</w:t>
            </w:r>
          </w:p>
        </w:tc>
        <w:tc>
          <w:tcPr>
            <w:tcW w:w="6520" w:type="dxa"/>
          </w:tcPr>
          <w:p w14:paraId="714494A5" w14:textId="15F901E0" w:rsidR="00A60801" w:rsidRPr="001032A9" w:rsidRDefault="00A60801" w:rsidP="00A60801">
            <w:pPr>
              <w:rPr>
                <w:rFonts w:cstheme="minorHAnsi"/>
                <w:lang w:val="en-GB"/>
              </w:rPr>
            </w:pPr>
            <w:r w:rsidRPr="00A60801">
              <w:rPr>
                <w:rFonts w:eastAsia="Times New Roman" w:cstheme="minorHAnsi"/>
                <w:lang w:val="en-GB"/>
              </w:rPr>
              <w:t>There are no statutory limitations applicable to criminal offences.</w:t>
            </w:r>
          </w:p>
        </w:tc>
      </w:tr>
      <w:tr w:rsidR="00C27050" w:rsidRPr="001032A9" w14:paraId="4F774369" w14:textId="77777777" w:rsidTr="00A21390">
        <w:trPr>
          <w:trHeight w:val="920"/>
        </w:trPr>
        <w:tc>
          <w:tcPr>
            <w:tcW w:w="425" w:type="dxa"/>
          </w:tcPr>
          <w:p w14:paraId="09911075" w14:textId="77777777" w:rsidR="00C27050" w:rsidRPr="001032A9" w:rsidRDefault="00C27050" w:rsidP="00C27050">
            <w:pPr>
              <w:pStyle w:val="Paragrafoelenco"/>
              <w:numPr>
                <w:ilvl w:val="0"/>
                <w:numId w:val="2"/>
              </w:numPr>
              <w:spacing w:after="160" w:line="240" w:lineRule="auto"/>
              <w:rPr>
                <w:rFonts w:asciiTheme="minorHAnsi" w:hAnsiTheme="minorHAnsi" w:cstheme="minorHAnsi"/>
                <w:lang w:val="en-GB"/>
              </w:rPr>
            </w:pPr>
          </w:p>
        </w:tc>
        <w:tc>
          <w:tcPr>
            <w:tcW w:w="5529" w:type="dxa"/>
          </w:tcPr>
          <w:p w14:paraId="1D310324" w14:textId="77777777" w:rsidR="00C27050" w:rsidRPr="001032A9" w:rsidRDefault="00C27050" w:rsidP="00C27050">
            <w:pPr>
              <w:spacing w:after="160"/>
              <w:rPr>
                <w:rFonts w:cstheme="minorHAnsi"/>
                <w:lang w:val="en-GB"/>
              </w:rPr>
            </w:pPr>
            <w:r w:rsidRPr="001032A9">
              <w:rPr>
                <w:rFonts w:eastAsia="Calibri" w:cstheme="minorHAnsi"/>
              </w:rPr>
              <w:t xml:space="preserve">Set up </w:t>
            </w:r>
            <w:r w:rsidRPr="001032A9">
              <w:rPr>
                <w:rFonts w:eastAsia="Calibri" w:cstheme="minorHAnsi"/>
                <w:b/>
              </w:rPr>
              <w:t xml:space="preserve">conditions for any travel </w:t>
            </w:r>
            <w:r w:rsidRPr="001032A9">
              <w:rPr>
                <w:rFonts w:eastAsia="Calibri" w:cstheme="minorHAnsi"/>
              </w:rPr>
              <w:t>by persons convicted of sexual exploitation of children.</w:t>
            </w:r>
          </w:p>
        </w:tc>
        <w:tc>
          <w:tcPr>
            <w:tcW w:w="1701" w:type="dxa"/>
          </w:tcPr>
          <w:p w14:paraId="7C523D1D" w14:textId="7B024A1E" w:rsidR="00C27050" w:rsidRPr="001032A9" w:rsidRDefault="00C27050" w:rsidP="00C27050">
            <w:pPr>
              <w:rPr>
                <w:rFonts w:cstheme="minorHAnsi"/>
                <w:bCs/>
                <w:color w:val="000000" w:themeColor="text1"/>
                <w:lang w:val="en-GB"/>
              </w:rPr>
            </w:pPr>
            <w:r w:rsidRPr="001032A9">
              <w:rPr>
                <w:rFonts w:cstheme="minorHAnsi"/>
                <w:bCs/>
                <w:color w:val="000000" w:themeColor="text1"/>
                <w:lang w:val="en-GB"/>
              </w:rPr>
              <w:t xml:space="preserve"> </w:t>
            </w:r>
            <w:r w:rsidRPr="00C27050">
              <w:rPr>
                <w:rFonts w:cstheme="minorHAnsi"/>
                <w:bCs/>
                <w:color w:val="000000" w:themeColor="text1"/>
                <w:lang w:val="en-GB"/>
              </w:rPr>
              <w:t>?</w:t>
            </w:r>
          </w:p>
        </w:tc>
        <w:tc>
          <w:tcPr>
            <w:tcW w:w="6520" w:type="dxa"/>
          </w:tcPr>
          <w:p w14:paraId="02DC10A5" w14:textId="568A102A" w:rsidR="00C27050" w:rsidRPr="00C27050" w:rsidRDefault="00C27050" w:rsidP="00C27050">
            <w:pPr>
              <w:rPr>
                <w:rFonts w:cstheme="minorHAnsi"/>
                <w:lang w:val="en-GB"/>
              </w:rPr>
            </w:pPr>
            <w:r w:rsidRPr="00C27050">
              <w:rPr>
                <w:rFonts w:cstheme="minorHAnsi"/>
                <w:lang w:val="en-GB"/>
              </w:rPr>
              <w:t xml:space="preserve">Access to the country has been denied in the past based on intelligence of foreign law enforcement agencies. </w:t>
            </w:r>
          </w:p>
        </w:tc>
      </w:tr>
      <w:tr w:rsidR="00C27050" w:rsidRPr="001032A9" w14:paraId="66544A55" w14:textId="77777777" w:rsidTr="00A21390">
        <w:trPr>
          <w:trHeight w:val="432"/>
        </w:trPr>
        <w:tc>
          <w:tcPr>
            <w:tcW w:w="425" w:type="dxa"/>
          </w:tcPr>
          <w:p w14:paraId="2D61F933" w14:textId="77777777" w:rsidR="00C27050" w:rsidRPr="001032A9" w:rsidRDefault="00C27050" w:rsidP="00C27050">
            <w:pPr>
              <w:pStyle w:val="Paragrafoelenco"/>
              <w:numPr>
                <w:ilvl w:val="0"/>
                <w:numId w:val="2"/>
              </w:numPr>
              <w:spacing w:after="160" w:line="240" w:lineRule="auto"/>
              <w:rPr>
                <w:rFonts w:asciiTheme="minorHAnsi" w:hAnsiTheme="minorHAnsi" w:cstheme="minorHAnsi"/>
                <w:lang w:val="en-GB"/>
              </w:rPr>
            </w:pPr>
          </w:p>
        </w:tc>
        <w:tc>
          <w:tcPr>
            <w:tcW w:w="5529" w:type="dxa"/>
          </w:tcPr>
          <w:p w14:paraId="22A1F325" w14:textId="77777777" w:rsidR="00C27050" w:rsidRPr="001032A9" w:rsidRDefault="00C27050" w:rsidP="00C27050">
            <w:pPr>
              <w:spacing w:after="160"/>
              <w:rPr>
                <w:rFonts w:cstheme="minorHAnsi"/>
                <w:lang w:val="en-GB"/>
              </w:rPr>
            </w:pPr>
            <w:r w:rsidRPr="001032A9">
              <w:rPr>
                <w:rFonts w:eastAsia="Calibri" w:cstheme="minorHAnsi"/>
              </w:rPr>
              <w:t xml:space="preserve">Ensure </w:t>
            </w:r>
            <w:r w:rsidRPr="001032A9">
              <w:rPr>
                <w:rFonts w:eastAsia="Calibri" w:cstheme="minorHAnsi"/>
                <w:b/>
              </w:rPr>
              <w:t xml:space="preserve">consistency in the definition of a ‘child’ </w:t>
            </w:r>
            <w:r w:rsidRPr="001032A9">
              <w:rPr>
                <w:rFonts w:eastAsia="Calibri" w:cstheme="minorHAnsi"/>
              </w:rPr>
              <w:t>as anyone under the age of 18 for all crimes of sexual exploitation, regardless of the age of sexual consent.</w:t>
            </w:r>
          </w:p>
        </w:tc>
        <w:tc>
          <w:tcPr>
            <w:tcW w:w="1701" w:type="dxa"/>
          </w:tcPr>
          <w:p w14:paraId="39F98F35" w14:textId="1D50DE19" w:rsidR="00C27050" w:rsidRPr="001032A9" w:rsidRDefault="00C27050" w:rsidP="00C27050">
            <w:pPr>
              <w:rPr>
                <w:rFonts w:cstheme="minorHAnsi"/>
                <w:bCs/>
                <w:color w:val="000000" w:themeColor="text1"/>
                <w:lang w:val="en-GB"/>
              </w:rPr>
            </w:pPr>
            <w:r>
              <w:rPr>
                <w:rFonts w:cstheme="minorHAnsi"/>
                <w:bCs/>
                <w:color w:val="000000" w:themeColor="text1"/>
                <w:lang w:val="en-GB"/>
              </w:rPr>
              <w:t>Partially</w:t>
            </w:r>
          </w:p>
        </w:tc>
        <w:tc>
          <w:tcPr>
            <w:tcW w:w="6520" w:type="dxa"/>
          </w:tcPr>
          <w:p w14:paraId="7B9B71BD" w14:textId="77777777" w:rsidR="00C27050" w:rsidRPr="00C27050" w:rsidRDefault="00C27050" w:rsidP="00C27050">
            <w:pPr>
              <w:rPr>
                <w:rFonts w:cstheme="minorHAnsi"/>
                <w:lang w:val="en-GB"/>
              </w:rPr>
            </w:pPr>
            <w:r>
              <w:rPr>
                <w:rFonts w:cstheme="minorHAnsi"/>
                <w:lang w:val="en-GB"/>
              </w:rPr>
              <w:t>While a</w:t>
            </w:r>
            <w:r w:rsidRPr="00C27050">
              <w:rPr>
                <w:rFonts w:cstheme="minorHAnsi"/>
                <w:lang w:val="en-GB"/>
              </w:rPr>
              <w:t>ccording to Section 3(b) of Child Right Law 2019, a child is a person who has not attained the age of 18 years old</w:t>
            </w:r>
            <w:r>
              <w:rPr>
                <w:rFonts w:cstheme="minorHAnsi"/>
                <w:lang w:val="en-GB"/>
              </w:rPr>
              <w:t xml:space="preserve">, </w:t>
            </w:r>
            <w:r w:rsidRPr="00C27050">
              <w:rPr>
                <w:rFonts w:cstheme="minorHAnsi"/>
                <w:lang w:val="en-GB"/>
              </w:rPr>
              <w:t>Section 3(j) of the Anti-Trafficking in Persons Act 2005 defines a child as a person below the age of 16 years.</w:t>
            </w:r>
          </w:p>
          <w:p w14:paraId="398C8D39" w14:textId="77777777" w:rsidR="00C27050" w:rsidRDefault="00C27050" w:rsidP="00C27050">
            <w:pPr>
              <w:rPr>
                <w:rFonts w:cstheme="minorHAnsi"/>
                <w:lang w:val="en-GB"/>
              </w:rPr>
            </w:pPr>
          </w:p>
          <w:p w14:paraId="05F23847" w14:textId="50A3DE1B" w:rsidR="00C27050" w:rsidRPr="00C27050" w:rsidRDefault="00C27050" w:rsidP="00C27050">
            <w:pPr>
              <w:rPr>
                <w:rFonts w:cstheme="minorHAnsi"/>
                <w:lang w:val="en-GB"/>
              </w:rPr>
            </w:pPr>
            <w:r w:rsidRPr="00C27050">
              <w:rPr>
                <w:rFonts w:cstheme="minorHAnsi"/>
                <w:lang w:val="en-GB"/>
              </w:rPr>
              <w:t xml:space="preserve">Section 372 of the Penal Code criminalises selling, letting to hire or otherwise disposing of any person under the age of eighteen years </w:t>
            </w:r>
            <w:r w:rsidRPr="00C27050">
              <w:rPr>
                <w:rFonts w:cstheme="minorHAnsi"/>
                <w:lang w:val="en-GB"/>
              </w:rPr>
              <w:lastRenderedPageBreak/>
              <w:t>with intent that such person shall at any age be employed or used for the purpose of prostitution or illicit intercourse with any person or for any unlawful and immoral purpose, or knowing it to be likely that such person will at any age be employed or used for any such purpose, shall be punished with imprisonment of either description for a term which may extend to ten years, and shall also be liable to fine.</w:t>
            </w:r>
          </w:p>
          <w:p w14:paraId="3865A860" w14:textId="77777777" w:rsidR="00C27050" w:rsidRPr="00C27050" w:rsidRDefault="00C27050" w:rsidP="00C27050">
            <w:pPr>
              <w:rPr>
                <w:rFonts w:cstheme="minorHAnsi"/>
                <w:lang w:val="en-GB"/>
              </w:rPr>
            </w:pPr>
            <w:r w:rsidRPr="00C27050">
              <w:rPr>
                <w:rFonts w:cstheme="minorHAnsi"/>
                <w:lang w:val="en-GB"/>
              </w:rPr>
              <w:t>Section 373 of the Penal Code covers the buying, renting or otherwise obtaining possession of any person under the age of eighteen years for the same purposes as prescribed in section 372 of the Penal Code, including knowing it to be likely that such person will be used for such purposes.</w:t>
            </w:r>
          </w:p>
          <w:p w14:paraId="2EF947A3" w14:textId="77777777" w:rsidR="00C27050" w:rsidRPr="00C27050" w:rsidRDefault="00C27050" w:rsidP="00C27050">
            <w:pPr>
              <w:rPr>
                <w:rFonts w:cstheme="minorHAnsi"/>
                <w:lang w:val="en-GB"/>
              </w:rPr>
            </w:pPr>
          </w:p>
          <w:p w14:paraId="2C3E0D1C" w14:textId="77777777" w:rsidR="00C27050" w:rsidRPr="00C27050" w:rsidRDefault="00C27050" w:rsidP="00C27050">
            <w:pPr>
              <w:rPr>
                <w:rFonts w:cstheme="minorHAnsi"/>
                <w:lang w:val="en-GB"/>
              </w:rPr>
            </w:pPr>
            <w:r w:rsidRPr="00C27050">
              <w:rPr>
                <w:rFonts w:cstheme="minorHAnsi"/>
                <w:lang w:val="en-GB"/>
              </w:rPr>
              <w:t xml:space="preserve">Age of consent is 16 years </w:t>
            </w:r>
            <w:proofErr w:type="gramStart"/>
            <w:r w:rsidRPr="00C27050">
              <w:rPr>
                <w:rFonts w:cstheme="minorHAnsi"/>
                <w:lang w:val="en-GB"/>
              </w:rPr>
              <w:t>old,</w:t>
            </w:r>
            <w:proofErr w:type="gramEnd"/>
            <w:r w:rsidRPr="00C27050">
              <w:rPr>
                <w:rFonts w:cstheme="minorHAnsi"/>
                <w:lang w:val="en-GB"/>
              </w:rPr>
              <w:t xml:space="preserve"> this was recently raised from 14 after a revision in January 2016 to section 375 of the Penal Code.</w:t>
            </w:r>
          </w:p>
          <w:p w14:paraId="615BD87D" w14:textId="77777777" w:rsidR="00C27050" w:rsidRPr="00C27050" w:rsidRDefault="00C27050" w:rsidP="00C27050">
            <w:pPr>
              <w:rPr>
                <w:rFonts w:cstheme="minorHAnsi"/>
                <w:lang w:val="en-GB"/>
              </w:rPr>
            </w:pPr>
          </w:p>
          <w:p w14:paraId="1B8D27C7" w14:textId="77777777" w:rsidR="00C27050" w:rsidRPr="00C27050" w:rsidRDefault="00C27050" w:rsidP="00C27050">
            <w:pPr>
              <w:rPr>
                <w:rFonts w:cstheme="minorHAnsi"/>
                <w:lang w:val="en-GB"/>
              </w:rPr>
            </w:pPr>
            <w:r w:rsidRPr="00C27050">
              <w:rPr>
                <w:rFonts w:cstheme="minorHAnsi"/>
                <w:lang w:val="en-GB"/>
              </w:rPr>
              <w:t>According to Section 105 (a) any person who lets a child under his/her guardian to live with a prostitute,  is negligent on child under his/her guardian to live on earning as a prostitute, forces or allows a child for the purpose of prostitution, distributes child sexual abuse material or offer, sell, possession, import or export for such purposes and force to marriage shall be punish with imprisonment for a term from minimum one year to maximum seven years and shall also be liable a fine from minimum 1,000,000 MMK to maximum 2,000,000 MMK.</w:t>
            </w:r>
          </w:p>
          <w:p w14:paraId="113BB425" w14:textId="77777777" w:rsidR="00C27050" w:rsidRPr="00C27050" w:rsidRDefault="00C27050" w:rsidP="00C27050">
            <w:pPr>
              <w:rPr>
                <w:rFonts w:cstheme="minorHAnsi"/>
                <w:lang w:val="en-GB"/>
              </w:rPr>
            </w:pPr>
          </w:p>
          <w:p w14:paraId="3A7AA16B" w14:textId="77777777" w:rsidR="00C27050" w:rsidRPr="00C27050" w:rsidRDefault="00C27050" w:rsidP="00C27050">
            <w:pPr>
              <w:rPr>
                <w:rFonts w:cstheme="minorHAnsi"/>
                <w:lang w:val="en-GB"/>
              </w:rPr>
            </w:pPr>
            <w:r w:rsidRPr="00C27050">
              <w:rPr>
                <w:rFonts w:cstheme="minorHAnsi"/>
                <w:lang w:val="en-GB"/>
              </w:rPr>
              <w:t xml:space="preserve">Section 105 (b) of the Child Right Law 2019 mentions that any person who forces a child to be a prostitute, lives on the earning of child as prostitute, and </w:t>
            </w:r>
            <w:r w:rsidRPr="00C27050">
              <w:rPr>
                <w:rFonts w:cstheme="minorHAnsi"/>
              </w:rPr>
              <w:t xml:space="preserve">exploitation child shall </w:t>
            </w:r>
            <w:r w:rsidRPr="00C27050">
              <w:rPr>
                <w:rFonts w:cstheme="minorHAnsi"/>
                <w:lang w:val="en-GB"/>
              </w:rPr>
              <w:t>be punish with imprisonment for a term from minimum two-year to maximum ten years and shall also be liable a fine from minimum 12,00,000 MMK to maximum 1,500,000 MMK.</w:t>
            </w:r>
          </w:p>
          <w:p w14:paraId="7E0D7BD3" w14:textId="7F37422A" w:rsidR="00C27050" w:rsidRPr="00C27050" w:rsidRDefault="00C27050" w:rsidP="00C27050">
            <w:pPr>
              <w:rPr>
                <w:rFonts w:cstheme="minorHAnsi"/>
                <w:lang w:val="en-GB"/>
              </w:rPr>
            </w:pPr>
          </w:p>
        </w:tc>
      </w:tr>
      <w:tr w:rsidR="00C27050" w:rsidRPr="001032A9" w14:paraId="7B8065FB" w14:textId="77777777" w:rsidTr="00A21390">
        <w:trPr>
          <w:trHeight w:val="1040"/>
        </w:trPr>
        <w:tc>
          <w:tcPr>
            <w:tcW w:w="425" w:type="dxa"/>
          </w:tcPr>
          <w:p w14:paraId="4AB4824F" w14:textId="77777777" w:rsidR="00C27050" w:rsidRPr="001032A9" w:rsidRDefault="00C27050" w:rsidP="00C27050">
            <w:pPr>
              <w:pStyle w:val="Paragrafoelenco"/>
              <w:numPr>
                <w:ilvl w:val="0"/>
                <w:numId w:val="2"/>
              </w:numPr>
              <w:spacing w:line="240" w:lineRule="auto"/>
              <w:rPr>
                <w:rFonts w:asciiTheme="minorHAnsi" w:hAnsiTheme="minorHAnsi" w:cstheme="minorHAnsi"/>
                <w:lang w:val="en-GB"/>
              </w:rPr>
            </w:pPr>
          </w:p>
        </w:tc>
        <w:tc>
          <w:tcPr>
            <w:tcW w:w="5529" w:type="dxa"/>
          </w:tcPr>
          <w:p w14:paraId="09F7EBF7" w14:textId="77777777" w:rsidR="00C27050" w:rsidRPr="001032A9" w:rsidRDefault="00C27050" w:rsidP="00C27050">
            <w:pPr>
              <w:rPr>
                <w:rFonts w:cstheme="minorHAnsi"/>
                <w:lang w:val="en-GB"/>
              </w:rPr>
            </w:pPr>
            <w:r w:rsidRPr="001032A9">
              <w:rPr>
                <w:rFonts w:eastAsia="Calibri" w:cstheme="minorHAnsi"/>
              </w:rPr>
              <w:t xml:space="preserve">Ensure that the </w:t>
            </w:r>
            <w:r w:rsidRPr="001032A9">
              <w:rPr>
                <w:rFonts w:eastAsia="Calibri" w:cstheme="minorHAnsi"/>
                <w:b/>
              </w:rPr>
              <w:t>age of sexual consent</w:t>
            </w:r>
            <w:r w:rsidRPr="001032A9">
              <w:rPr>
                <w:rFonts w:eastAsia="Calibri" w:cstheme="minorHAnsi"/>
              </w:rPr>
              <w:t xml:space="preserve"> for both males and females is 18 and a close in age exemption (up to 3 years) is provided for consensual sexual relationships between adolescents </w:t>
            </w:r>
            <w:proofErr w:type="gramStart"/>
            <w:r w:rsidRPr="001032A9">
              <w:rPr>
                <w:rFonts w:eastAsia="Calibri" w:cstheme="minorHAnsi"/>
              </w:rPr>
              <w:t>in order to</w:t>
            </w:r>
            <w:proofErr w:type="gramEnd"/>
            <w:r w:rsidRPr="001032A9">
              <w:rPr>
                <w:rFonts w:eastAsia="Calibri" w:cstheme="minorHAnsi"/>
              </w:rPr>
              <w:t xml:space="preserve"> allow voluntary, well-informed and mutual sexual contact between close in age peers and to prevent criminalization of young people in willing sexual relationships.</w:t>
            </w:r>
          </w:p>
        </w:tc>
        <w:tc>
          <w:tcPr>
            <w:tcW w:w="1701" w:type="dxa"/>
          </w:tcPr>
          <w:p w14:paraId="07241F5A" w14:textId="77777777" w:rsidR="00C27050" w:rsidRPr="001032A9" w:rsidRDefault="00C27050" w:rsidP="00C27050">
            <w:pPr>
              <w:rPr>
                <w:rFonts w:cstheme="minorHAnsi"/>
                <w:bCs/>
                <w:color w:val="000000" w:themeColor="text1"/>
                <w:lang w:val="en-GB"/>
              </w:rPr>
            </w:pPr>
            <w:r w:rsidRPr="001032A9">
              <w:rPr>
                <w:rFonts w:cstheme="minorHAnsi"/>
                <w:bCs/>
                <w:color w:val="000000" w:themeColor="text1"/>
                <w:lang w:val="en-GB"/>
              </w:rPr>
              <w:t xml:space="preserve"> No</w:t>
            </w:r>
          </w:p>
        </w:tc>
        <w:tc>
          <w:tcPr>
            <w:tcW w:w="6520" w:type="dxa"/>
          </w:tcPr>
          <w:p w14:paraId="07484B60" w14:textId="3936F0DF" w:rsidR="00C27050" w:rsidRPr="001032A9" w:rsidRDefault="00C27050" w:rsidP="00C27050">
            <w:pPr>
              <w:rPr>
                <w:rFonts w:cstheme="minorHAnsi"/>
                <w:lang w:val="en-GB"/>
              </w:rPr>
            </w:pPr>
          </w:p>
        </w:tc>
      </w:tr>
      <w:tr w:rsidR="00C27050" w:rsidRPr="001032A9" w14:paraId="4C780032" w14:textId="77777777" w:rsidTr="00A21390">
        <w:trPr>
          <w:trHeight w:val="539"/>
        </w:trPr>
        <w:tc>
          <w:tcPr>
            <w:tcW w:w="425" w:type="dxa"/>
          </w:tcPr>
          <w:p w14:paraId="07D552A9" w14:textId="77777777" w:rsidR="00C27050" w:rsidRPr="001032A9" w:rsidRDefault="00C27050" w:rsidP="00C27050">
            <w:pPr>
              <w:pStyle w:val="Paragrafoelenco"/>
              <w:numPr>
                <w:ilvl w:val="0"/>
                <w:numId w:val="2"/>
              </w:numPr>
              <w:spacing w:after="160" w:line="240" w:lineRule="auto"/>
              <w:rPr>
                <w:rFonts w:asciiTheme="minorHAnsi" w:hAnsiTheme="minorHAnsi" w:cstheme="minorHAnsi"/>
                <w:lang w:val="en-GB"/>
              </w:rPr>
            </w:pPr>
          </w:p>
        </w:tc>
        <w:tc>
          <w:tcPr>
            <w:tcW w:w="5529" w:type="dxa"/>
          </w:tcPr>
          <w:p w14:paraId="1DD0D644" w14:textId="77777777" w:rsidR="00C27050" w:rsidRPr="001032A9" w:rsidRDefault="00C27050" w:rsidP="00C27050">
            <w:pPr>
              <w:rPr>
                <w:rFonts w:cstheme="minorHAnsi"/>
                <w:lang w:val="en-GB"/>
              </w:rPr>
            </w:pPr>
            <w:r w:rsidRPr="001032A9">
              <w:rPr>
                <w:rFonts w:eastAsia="Calibri" w:cstheme="minorHAnsi"/>
              </w:rPr>
              <w:t xml:space="preserve">Have a law or regulation establishing a </w:t>
            </w:r>
            <w:r w:rsidRPr="001032A9">
              <w:rPr>
                <w:rFonts w:eastAsia="Calibri" w:cstheme="minorHAnsi"/>
                <w:b/>
              </w:rPr>
              <w:t>mechanism for centrally registering sex offenders</w:t>
            </w:r>
            <w:r w:rsidRPr="001032A9">
              <w:rPr>
                <w:rFonts w:eastAsia="Calibri" w:cstheme="minorHAnsi"/>
              </w:rPr>
              <w:t xml:space="preserve"> that has been implemented/setup.</w:t>
            </w:r>
          </w:p>
        </w:tc>
        <w:tc>
          <w:tcPr>
            <w:tcW w:w="1701" w:type="dxa"/>
          </w:tcPr>
          <w:p w14:paraId="6FB8C35F" w14:textId="77777777" w:rsidR="00C27050" w:rsidRPr="001032A9" w:rsidRDefault="00C27050" w:rsidP="00C27050">
            <w:pPr>
              <w:rPr>
                <w:rFonts w:cstheme="minorHAnsi"/>
                <w:bCs/>
                <w:color w:val="000000" w:themeColor="text1"/>
                <w:lang w:val="en-GB"/>
              </w:rPr>
            </w:pPr>
            <w:r w:rsidRPr="001032A9">
              <w:rPr>
                <w:rFonts w:cstheme="minorHAnsi"/>
                <w:bCs/>
                <w:color w:val="000000" w:themeColor="text1"/>
                <w:lang w:val="en-GB"/>
              </w:rPr>
              <w:t xml:space="preserve">No </w:t>
            </w:r>
          </w:p>
        </w:tc>
        <w:tc>
          <w:tcPr>
            <w:tcW w:w="6520" w:type="dxa"/>
          </w:tcPr>
          <w:p w14:paraId="17B316A2" w14:textId="22FC5866" w:rsidR="00C27050" w:rsidRPr="001032A9" w:rsidRDefault="00C27050" w:rsidP="00C27050">
            <w:pPr>
              <w:jc w:val="both"/>
              <w:rPr>
                <w:rFonts w:cstheme="minorHAnsi"/>
                <w:lang w:val="en-GB"/>
              </w:rPr>
            </w:pPr>
          </w:p>
        </w:tc>
      </w:tr>
      <w:tr w:rsidR="00C14F91" w:rsidRPr="001032A9" w14:paraId="3E531206" w14:textId="77777777" w:rsidTr="00A21390">
        <w:trPr>
          <w:trHeight w:val="920"/>
        </w:trPr>
        <w:tc>
          <w:tcPr>
            <w:tcW w:w="425" w:type="dxa"/>
          </w:tcPr>
          <w:p w14:paraId="32AC529C" w14:textId="77777777" w:rsidR="00C14F91" w:rsidRPr="001032A9" w:rsidRDefault="00C14F91" w:rsidP="00C14F91">
            <w:pPr>
              <w:pStyle w:val="Paragrafoelenco"/>
              <w:numPr>
                <w:ilvl w:val="0"/>
                <w:numId w:val="2"/>
              </w:numPr>
              <w:spacing w:after="160" w:line="240" w:lineRule="auto"/>
              <w:rPr>
                <w:rFonts w:asciiTheme="minorHAnsi" w:hAnsiTheme="minorHAnsi" w:cstheme="minorHAnsi"/>
                <w:lang w:val="en-GB"/>
              </w:rPr>
            </w:pPr>
          </w:p>
        </w:tc>
        <w:tc>
          <w:tcPr>
            <w:tcW w:w="5529" w:type="dxa"/>
          </w:tcPr>
          <w:p w14:paraId="17E9F959" w14:textId="77777777" w:rsidR="00C14F91" w:rsidRPr="001032A9" w:rsidRDefault="00C14F91" w:rsidP="00C14F91">
            <w:pPr>
              <w:spacing w:after="160"/>
              <w:rPr>
                <w:rFonts w:cstheme="minorHAnsi"/>
                <w:lang w:val="en-GB"/>
              </w:rPr>
            </w:pPr>
            <w:r w:rsidRPr="001032A9">
              <w:rPr>
                <w:rFonts w:eastAsia="Calibri" w:cstheme="minorHAnsi"/>
              </w:rPr>
              <w:t xml:space="preserve">Establish </w:t>
            </w:r>
            <w:r w:rsidRPr="001032A9">
              <w:rPr>
                <w:rFonts w:eastAsia="Calibri" w:cstheme="minorHAnsi"/>
                <w:b/>
              </w:rPr>
              <w:t>bail conditions</w:t>
            </w:r>
            <w:r w:rsidRPr="001032A9">
              <w:rPr>
                <w:rFonts w:eastAsia="Calibri" w:cstheme="minorHAnsi"/>
              </w:rPr>
              <w:t xml:space="preserve"> that prohibit individual accused of sexual offences against children from traveling outside of the country.</w:t>
            </w:r>
          </w:p>
        </w:tc>
        <w:tc>
          <w:tcPr>
            <w:tcW w:w="1701" w:type="dxa"/>
          </w:tcPr>
          <w:p w14:paraId="060F9A89" w14:textId="77777777" w:rsidR="00C14F91" w:rsidRPr="001032A9" w:rsidRDefault="00C14F91" w:rsidP="00C14F91">
            <w:pPr>
              <w:rPr>
                <w:rFonts w:cstheme="minorHAnsi"/>
                <w:bCs/>
                <w:color w:val="000000" w:themeColor="text1"/>
                <w:lang w:val="en-GB"/>
              </w:rPr>
            </w:pPr>
            <w:r w:rsidRPr="001032A9">
              <w:rPr>
                <w:rFonts w:cstheme="minorHAnsi"/>
                <w:bCs/>
                <w:color w:val="000000" w:themeColor="text1"/>
                <w:lang w:val="en-GB"/>
              </w:rPr>
              <w:t xml:space="preserve">Partially </w:t>
            </w:r>
          </w:p>
        </w:tc>
        <w:tc>
          <w:tcPr>
            <w:tcW w:w="6520" w:type="dxa"/>
          </w:tcPr>
          <w:p w14:paraId="0CD7653A" w14:textId="61701776" w:rsidR="00C14F91" w:rsidRPr="00C14F91" w:rsidRDefault="00C14F91" w:rsidP="00C14F91">
            <w:pPr>
              <w:rPr>
                <w:rFonts w:cstheme="minorHAnsi"/>
              </w:rPr>
            </w:pPr>
            <w:r w:rsidRPr="00C14F91">
              <w:rPr>
                <w:rFonts w:cstheme="minorHAnsi"/>
                <w:lang w:val="en-GB"/>
              </w:rPr>
              <w:t>In the Myanmar Penal Code, sections 366A, 366B, 372 and 373 are not bailable under the Myanmar Criminal Procedure Code.</w:t>
            </w:r>
          </w:p>
        </w:tc>
      </w:tr>
      <w:tr w:rsidR="00C14F91" w:rsidRPr="001032A9" w14:paraId="7A7B6F02" w14:textId="77777777" w:rsidTr="00A21390">
        <w:trPr>
          <w:trHeight w:val="640"/>
        </w:trPr>
        <w:tc>
          <w:tcPr>
            <w:tcW w:w="425" w:type="dxa"/>
          </w:tcPr>
          <w:p w14:paraId="13E7539D" w14:textId="77777777" w:rsidR="00C14F91" w:rsidRPr="001032A9" w:rsidRDefault="00C14F91" w:rsidP="00C14F91">
            <w:pPr>
              <w:pStyle w:val="Paragrafoelenco"/>
              <w:numPr>
                <w:ilvl w:val="0"/>
                <w:numId w:val="2"/>
              </w:numPr>
              <w:spacing w:after="160" w:line="240" w:lineRule="auto"/>
              <w:rPr>
                <w:rFonts w:asciiTheme="minorHAnsi" w:hAnsiTheme="minorHAnsi" w:cstheme="minorHAnsi"/>
                <w:lang w:val="en-GB"/>
              </w:rPr>
            </w:pPr>
          </w:p>
        </w:tc>
        <w:tc>
          <w:tcPr>
            <w:tcW w:w="5529" w:type="dxa"/>
          </w:tcPr>
          <w:p w14:paraId="2C7F62F0" w14:textId="77777777" w:rsidR="00C14F91" w:rsidRPr="001032A9" w:rsidRDefault="00C14F91" w:rsidP="00C14F91">
            <w:pPr>
              <w:spacing w:after="160"/>
              <w:rPr>
                <w:rFonts w:cstheme="minorHAnsi"/>
                <w:lang w:val="en-GB"/>
              </w:rPr>
            </w:pPr>
            <w:r w:rsidRPr="001032A9">
              <w:rPr>
                <w:rFonts w:eastAsia="Calibri" w:cstheme="minorHAnsi"/>
              </w:rPr>
              <w:t xml:space="preserve">Provide in law that the </w:t>
            </w:r>
            <w:r w:rsidRPr="001032A9">
              <w:rPr>
                <w:rFonts w:eastAsia="Calibri" w:cstheme="minorHAnsi"/>
                <w:b/>
              </w:rPr>
              <w:t>mere attempt</w:t>
            </w:r>
            <w:r w:rsidRPr="001032A9">
              <w:rPr>
                <w:rFonts w:eastAsia="Calibri" w:cstheme="minorHAnsi"/>
              </w:rPr>
              <w:t xml:space="preserve"> to commit a crime of sexual exploitation of children is </w:t>
            </w:r>
            <w:proofErr w:type="spellStart"/>
            <w:r w:rsidRPr="001032A9">
              <w:rPr>
                <w:rFonts w:eastAsia="Calibri" w:cstheme="minorHAnsi"/>
              </w:rPr>
              <w:t>criminalised</w:t>
            </w:r>
            <w:proofErr w:type="spellEnd"/>
            <w:r w:rsidRPr="001032A9">
              <w:rPr>
                <w:rFonts w:eastAsia="Calibri" w:cstheme="minorHAnsi"/>
              </w:rPr>
              <w:t>.</w:t>
            </w:r>
          </w:p>
        </w:tc>
        <w:tc>
          <w:tcPr>
            <w:tcW w:w="1701" w:type="dxa"/>
          </w:tcPr>
          <w:p w14:paraId="2E034DCE" w14:textId="458BEFB9" w:rsidR="00C14F91" w:rsidRPr="001032A9" w:rsidRDefault="00C14F91" w:rsidP="00C14F91">
            <w:pPr>
              <w:rPr>
                <w:rFonts w:cstheme="minorHAnsi"/>
                <w:bCs/>
                <w:color w:val="000000" w:themeColor="text1"/>
                <w:lang w:val="en-GB"/>
              </w:rPr>
            </w:pPr>
            <w:r>
              <w:rPr>
                <w:rFonts w:cstheme="minorHAnsi"/>
                <w:bCs/>
                <w:color w:val="000000" w:themeColor="text1"/>
                <w:lang w:val="en-GB"/>
              </w:rPr>
              <w:t>Yes</w:t>
            </w:r>
          </w:p>
        </w:tc>
        <w:tc>
          <w:tcPr>
            <w:tcW w:w="6520" w:type="dxa"/>
          </w:tcPr>
          <w:p w14:paraId="7BBC93F0" w14:textId="36443865" w:rsidR="00C14F91" w:rsidRPr="001032A9" w:rsidRDefault="00C14F91" w:rsidP="00C14F91">
            <w:pPr>
              <w:rPr>
                <w:rFonts w:cstheme="minorHAnsi"/>
                <w:i/>
              </w:rPr>
            </w:pPr>
            <w:r w:rsidRPr="00C14F91">
              <w:rPr>
                <w:rFonts w:eastAsia="Times New Roman" w:cstheme="minorHAnsi"/>
                <w:lang w:val="en-GB"/>
              </w:rPr>
              <w:t>According to Section 107 of the Child Opportunities Law, whoever attempting to commit a crime, conspiracy or convicted abatement to commit the crime, shall be punished for the offence provided in this law</w:t>
            </w:r>
            <w:r w:rsidRPr="001032A9">
              <w:rPr>
                <w:rFonts w:cstheme="minorHAnsi"/>
                <w:i/>
              </w:rPr>
              <w:t>.</w:t>
            </w:r>
          </w:p>
          <w:p w14:paraId="5CCD4B3D" w14:textId="473FF591" w:rsidR="00C14F91" w:rsidRPr="001032A9" w:rsidRDefault="00C14F91" w:rsidP="00C14F91">
            <w:pPr>
              <w:rPr>
                <w:rFonts w:cstheme="minorHAnsi"/>
              </w:rPr>
            </w:pPr>
            <w:r w:rsidRPr="001032A9">
              <w:rPr>
                <w:rFonts w:cstheme="minorHAnsi"/>
              </w:rPr>
              <w:br/>
            </w:r>
          </w:p>
          <w:p w14:paraId="4FCCAFA7" w14:textId="4ACC50DB" w:rsidR="00C14F91" w:rsidRPr="001032A9" w:rsidRDefault="00C14F91" w:rsidP="00C14F91">
            <w:pPr>
              <w:rPr>
                <w:rFonts w:cstheme="minorHAnsi"/>
                <w:lang w:val="en-GB"/>
              </w:rPr>
            </w:pPr>
          </w:p>
        </w:tc>
      </w:tr>
      <w:tr w:rsidR="00C14F91" w:rsidRPr="001032A9" w14:paraId="41F5E5B0" w14:textId="77777777" w:rsidTr="00A21390">
        <w:trPr>
          <w:trHeight w:val="144"/>
        </w:trPr>
        <w:tc>
          <w:tcPr>
            <w:tcW w:w="425" w:type="dxa"/>
          </w:tcPr>
          <w:p w14:paraId="6C5E9BA8" w14:textId="77777777" w:rsidR="00C14F91" w:rsidRPr="001032A9" w:rsidRDefault="00C14F91" w:rsidP="00C14F91">
            <w:pPr>
              <w:pStyle w:val="Paragrafoelenco"/>
              <w:numPr>
                <w:ilvl w:val="0"/>
                <w:numId w:val="2"/>
              </w:numPr>
              <w:spacing w:line="240" w:lineRule="auto"/>
              <w:rPr>
                <w:rFonts w:asciiTheme="minorHAnsi" w:hAnsiTheme="minorHAnsi" w:cstheme="minorHAnsi"/>
                <w:lang w:val="en-GB"/>
              </w:rPr>
            </w:pPr>
          </w:p>
        </w:tc>
        <w:tc>
          <w:tcPr>
            <w:tcW w:w="5529" w:type="dxa"/>
          </w:tcPr>
          <w:p w14:paraId="048666A8" w14:textId="532688F8" w:rsidR="00C14F91" w:rsidRPr="001032A9" w:rsidRDefault="00C14F91" w:rsidP="00C14F91">
            <w:pPr>
              <w:rPr>
                <w:rFonts w:cstheme="minorHAnsi"/>
                <w:lang w:val="en-GB"/>
              </w:rPr>
            </w:pPr>
            <w:r w:rsidRPr="001032A9">
              <w:rPr>
                <w:rFonts w:eastAsia="Calibri" w:cstheme="minorHAnsi"/>
              </w:rPr>
              <w:t xml:space="preserve">Impose more severe sentences for </w:t>
            </w:r>
            <w:r w:rsidRPr="001032A9">
              <w:rPr>
                <w:rFonts w:eastAsia="Calibri" w:cstheme="minorHAnsi"/>
                <w:b/>
              </w:rPr>
              <w:t>reoffending</w:t>
            </w:r>
            <w:r w:rsidRPr="001032A9">
              <w:rPr>
                <w:rFonts w:eastAsia="Calibri" w:cstheme="minorHAnsi"/>
              </w:rPr>
              <w:t xml:space="preserve"> in case of sexual exploitation against children, </w:t>
            </w:r>
            <w:r w:rsidR="002E4A1F" w:rsidRPr="001032A9">
              <w:rPr>
                <w:rFonts w:eastAsia="Calibri" w:cstheme="minorHAnsi"/>
              </w:rPr>
              <w:t>e.g.,</w:t>
            </w:r>
            <w:r w:rsidRPr="001032A9">
              <w:rPr>
                <w:rFonts w:eastAsia="Calibri" w:cstheme="minorHAnsi"/>
              </w:rPr>
              <w:t xml:space="preserve"> by defining reoffending as an aggravating circumstance, regardless of whether the crimes were perpetrated abroad or in-country.</w:t>
            </w:r>
          </w:p>
        </w:tc>
        <w:tc>
          <w:tcPr>
            <w:tcW w:w="1701" w:type="dxa"/>
          </w:tcPr>
          <w:p w14:paraId="331D00CA" w14:textId="77777777" w:rsidR="00C14F91" w:rsidRPr="001032A9" w:rsidRDefault="00C14F91" w:rsidP="00C14F91">
            <w:pPr>
              <w:rPr>
                <w:rFonts w:cstheme="minorHAnsi"/>
                <w:bCs/>
                <w:color w:val="000000" w:themeColor="text1"/>
                <w:lang w:val="en-GB"/>
              </w:rPr>
            </w:pPr>
            <w:r w:rsidRPr="001032A9">
              <w:rPr>
                <w:rFonts w:cstheme="minorHAnsi"/>
                <w:bCs/>
                <w:color w:val="000000" w:themeColor="text1"/>
                <w:lang w:val="en-GB"/>
              </w:rPr>
              <w:t xml:space="preserve">Yes </w:t>
            </w:r>
          </w:p>
        </w:tc>
        <w:tc>
          <w:tcPr>
            <w:tcW w:w="6520" w:type="dxa"/>
          </w:tcPr>
          <w:p w14:paraId="2CD2E2F7" w14:textId="77777777" w:rsidR="002E4A1F" w:rsidRPr="002E4A1F" w:rsidRDefault="002E4A1F" w:rsidP="002E4A1F">
            <w:pPr>
              <w:rPr>
                <w:rFonts w:eastAsia="Times New Roman" w:cstheme="minorHAnsi"/>
                <w:lang w:val="en-GB"/>
              </w:rPr>
            </w:pPr>
            <w:r w:rsidRPr="002E4A1F">
              <w:rPr>
                <w:rFonts w:eastAsia="Times New Roman" w:cstheme="minorHAnsi"/>
                <w:lang w:val="en-GB"/>
              </w:rPr>
              <w:t>Art. 75 Penal Code.</w:t>
            </w:r>
          </w:p>
          <w:p w14:paraId="3159DBD9" w14:textId="77777777" w:rsidR="002E4A1F" w:rsidRPr="002E4A1F" w:rsidRDefault="002E4A1F" w:rsidP="002E4A1F">
            <w:pPr>
              <w:rPr>
                <w:rFonts w:eastAsia="Times New Roman" w:cstheme="minorHAnsi"/>
                <w:lang w:val="en-GB"/>
              </w:rPr>
            </w:pPr>
            <w:r w:rsidRPr="002E4A1F">
              <w:rPr>
                <w:rFonts w:eastAsia="Times New Roman" w:cstheme="minorHAnsi"/>
                <w:lang w:val="en-GB"/>
              </w:rPr>
              <w:t xml:space="preserve">Whoever, having been convicted-- </w:t>
            </w:r>
          </w:p>
          <w:p w14:paraId="6BBCB843" w14:textId="3763366E" w:rsidR="00C14F91" w:rsidRPr="001032A9" w:rsidRDefault="002E4A1F" w:rsidP="002E4A1F">
            <w:pPr>
              <w:ind w:left="314"/>
              <w:rPr>
                <w:rFonts w:cstheme="minorHAnsi"/>
                <w:lang w:val="en-GB"/>
              </w:rPr>
            </w:pPr>
            <w:r w:rsidRPr="002E4A1F">
              <w:rPr>
                <w:rFonts w:eastAsia="Times New Roman" w:cstheme="minorHAnsi"/>
                <w:lang w:val="en-GB"/>
              </w:rPr>
              <w:t>(a)</w:t>
            </w:r>
            <w:r>
              <w:rPr>
                <w:rFonts w:eastAsia="Times New Roman" w:cstheme="minorHAnsi"/>
                <w:lang w:val="en-GB"/>
              </w:rPr>
              <w:t xml:space="preserve"> </w:t>
            </w:r>
            <w:r w:rsidRPr="002E4A1F">
              <w:rPr>
                <w:rFonts w:eastAsia="Times New Roman" w:cstheme="minorHAnsi"/>
                <w:lang w:val="en-GB"/>
              </w:rPr>
              <w:t>by a Court in the Union of Burma, of an offence punishable under Chapter XII or Chapter XVII of this Code with imprisonment of either description for a term of three years or upwards shall be guilty of any offence punishable under either of those Chapters with like imprisonment for the like term, shall be subject for every such subsequent offence to twenty years, or to imprisonment of either description for a term which may extend to ten years.</w:t>
            </w:r>
          </w:p>
        </w:tc>
      </w:tr>
      <w:tr w:rsidR="00C14F91" w:rsidRPr="001032A9" w14:paraId="43352AFA" w14:textId="77777777" w:rsidTr="00A21390">
        <w:trPr>
          <w:trHeight w:val="864"/>
        </w:trPr>
        <w:tc>
          <w:tcPr>
            <w:tcW w:w="425" w:type="dxa"/>
          </w:tcPr>
          <w:p w14:paraId="11797AD0" w14:textId="77777777" w:rsidR="00C14F91" w:rsidRPr="001032A9" w:rsidRDefault="00C14F91" w:rsidP="00C14F91">
            <w:pPr>
              <w:pStyle w:val="Paragrafoelenco"/>
              <w:numPr>
                <w:ilvl w:val="0"/>
                <w:numId w:val="2"/>
              </w:numPr>
              <w:spacing w:after="160" w:line="240" w:lineRule="auto"/>
              <w:rPr>
                <w:rFonts w:asciiTheme="minorHAnsi" w:hAnsiTheme="minorHAnsi" w:cstheme="minorHAnsi"/>
                <w:lang w:val="en-GB"/>
              </w:rPr>
            </w:pPr>
          </w:p>
        </w:tc>
        <w:tc>
          <w:tcPr>
            <w:tcW w:w="5529" w:type="dxa"/>
          </w:tcPr>
          <w:p w14:paraId="7C694A49" w14:textId="77777777" w:rsidR="00C14F91" w:rsidRPr="001032A9" w:rsidRDefault="00C14F91" w:rsidP="00C14F91">
            <w:pPr>
              <w:spacing w:after="160"/>
              <w:rPr>
                <w:rFonts w:cstheme="minorHAnsi"/>
                <w:lang w:val="en-GB"/>
              </w:rPr>
            </w:pPr>
            <w:r w:rsidRPr="001032A9">
              <w:rPr>
                <w:rFonts w:eastAsia="Calibri" w:cstheme="minorHAnsi"/>
              </w:rPr>
              <w:t xml:space="preserve">Provide for </w:t>
            </w:r>
            <w:r w:rsidRPr="001032A9">
              <w:rPr>
                <w:rFonts w:eastAsia="Calibri" w:cstheme="minorHAnsi"/>
                <w:b/>
              </w:rPr>
              <w:t>mandatory reporting</w:t>
            </w:r>
            <w:r w:rsidRPr="001032A9">
              <w:rPr>
                <w:rFonts w:eastAsia="Calibri" w:cstheme="minorHAnsi"/>
              </w:rPr>
              <w:t xml:space="preserve"> for </w:t>
            </w:r>
            <w:proofErr w:type="gramStart"/>
            <w:r w:rsidRPr="001032A9">
              <w:rPr>
                <w:rFonts w:eastAsia="Calibri" w:cstheme="minorHAnsi"/>
              </w:rPr>
              <w:t>particular professions</w:t>
            </w:r>
            <w:proofErr w:type="gramEnd"/>
            <w:r w:rsidRPr="001032A9">
              <w:rPr>
                <w:rFonts w:eastAsia="Calibri" w:cstheme="minorHAnsi"/>
              </w:rPr>
              <w:t xml:space="preserve"> that have likelihood to have contact with kids who might disclose.</w:t>
            </w:r>
          </w:p>
        </w:tc>
        <w:tc>
          <w:tcPr>
            <w:tcW w:w="1701" w:type="dxa"/>
          </w:tcPr>
          <w:p w14:paraId="6E53D2B8" w14:textId="264E7349" w:rsidR="00C14F91" w:rsidRPr="001032A9" w:rsidRDefault="00C14F91" w:rsidP="00C14F91">
            <w:pPr>
              <w:rPr>
                <w:rFonts w:cstheme="minorHAnsi"/>
                <w:bCs/>
                <w:color w:val="000000" w:themeColor="text1"/>
                <w:lang w:val="en-GB"/>
              </w:rPr>
            </w:pPr>
            <w:r w:rsidRPr="001032A9">
              <w:rPr>
                <w:rFonts w:cstheme="minorHAnsi"/>
                <w:bCs/>
                <w:color w:val="000000" w:themeColor="text1"/>
                <w:lang w:val="en-GB"/>
              </w:rPr>
              <w:t>Partially</w:t>
            </w:r>
          </w:p>
        </w:tc>
        <w:tc>
          <w:tcPr>
            <w:tcW w:w="6520" w:type="dxa"/>
          </w:tcPr>
          <w:p w14:paraId="42CCE3C2" w14:textId="77777777" w:rsidR="002E4A1F" w:rsidRPr="002E4A1F" w:rsidRDefault="002E4A1F" w:rsidP="002E4A1F">
            <w:pPr>
              <w:rPr>
                <w:rFonts w:eastAsia="Times New Roman" w:cstheme="minorHAnsi"/>
                <w:lang w:val="en-GB"/>
              </w:rPr>
            </w:pPr>
            <w:r w:rsidRPr="002E4A1F">
              <w:rPr>
                <w:rFonts w:eastAsia="Times New Roman" w:cstheme="minorHAnsi"/>
                <w:lang w:val="en-GB"/>
              </w:rPr>
              <w:t>Section 58(a) of the Child Right Law 2019 mentions that whoever thinks any child needs to be protected under section 57 of the law can inform the social welfare officer.</w:t>
            </w:r>
          </w:p>
          <w:p w14:paraId="2D417513" w14:textId="494A6018" w:rsidR="00C14F91" w:rsidRPr="001032A9" w:rsidRDefault="002E4A1F" w:rsidP="002E4A1F">
            <w:pPr>
              <w:rPr>
                <w:rFonts w:cstheme="minorHAnsi"/>
                <w:highlight w:val="yellow"/>
                <w:lang w:val="en-GB"/>
              </w:rPr>
            </w:pPr>
            <w:r w:rsidRPr="002E4A1F">
              <w:rPr>
                <w:rFonts w:eastAsia="Times New Roman" w:cstheme="minorHAnsi"/>
                <w:lang w:val="en-GB"/>
              </w:rPr>
              <w:lastRenderedPageBreak/>
              <w:t>Section 57 of this law provides the criteria for children who require protection.</w:t>
            </w:r>
          </w:p>
        </w:tc>
      </w:tr>
      <w:tr w:rsidR="00C14F91" w:rsidRPr="001032A9" w14:paraId="0809D4B3" w14:textId="77777777" w:rsidTr="00A21390">
        <w:trPr>
          <w:trHeight w:val="557"/>
        </w:trPr>
        <w:tc>
          <w:tcPr>
            <w:tcW w:w="425" w:type="dxa"/>
          </w:tcPr>
          <w:p w14:paraId="69BE80D3" w14:textId="77777777" w:rsidR="00C14F91" w:rsidRPr="001032A9" w:rsidRDefault="00C14F91" w:rsidP="00C14F91">
            <w:pPr>
              <w:pStyle w:val="Paragrafoelenco"/>
              <w:numPr>
                <w:ilvl w:val="0"/>
                <w:numId w:val="2"/>
              </w:numPr>
              <w:spacing w:line="240" w:lineRule="auto"/>
              <w:rPr>
                <w:rFonts w:asciiTheme="minorHAnsi" w:hAnsiTheme="minorHAnsi" w:cstheme="minorHAnsi"/>
                <w:lang w:val="en-GB"/>
              </w:rPr>
            </w:pPr>
          </w:p>
        </w:tc>
        <w:tc>
          <w:tcPr>
            <w:tcW w:w="5529" w:type="dxa"/>
          </w:tcPr>
          <w:p w14:paraId="4C610DD8" w14:textId="77777777" w:rsidR="00C14F91" w:rsidRPr="001032A9" w:rsidRDefault="00C14F91" w:rsidP="00C14F91">
            <w:pPr>
              <w:rPr>
                <w:rFonts w:cstheme="minorHAnsi"/>
                <w:lang w:val="en-GB"/>
              </w:rPr>
            </w:pPr>
            <w:r w:rsidRPr="001032A9">
              <w:rPr>
                <w:rFonts w:eastAsia="Calibri" w:cstheme="minorHAnsi"/>
              </w:rPr>
              <w:t xml:space="preserve">Establish obligatory government-regulated child protection standards for the tourism industry for example, attach responsibility to an appropriate regulatory authority and/or implement industry specific </w:t>
            </w:r>
            <w:r w:rsidRPr="001032A9">
              <w:rPr>
                <w:rFonts w:eastAsia="Calibri" w:cstheme="minorHAnsi"/>
                <w:b/>
              </w:rPr>
              <w:t>national codes for child protection</w:t>
            </w:r>
            <w:r w:rsidRPr="001032A9">
              <w:rPr>
                <w:rFonts w:eastAsia="Calibri" w:cstheme="minorHAnsi"/>
              </w:rPr>
              <w:t xml:space="preserve"> as a legal requirement for the travel and tourism industry to operate.</w:t>
            </w:r>
          </w:p>
        </w:tc>
        <w:tc>
          <w:tcPr>
            <w:tcW w:w="1701" w:type="dxa"/>
          </w:tcPr>
          <w:p w14:paraId="425D0696" w14:textId="27005251" w:rsidR="00C14F91" w:rsidRPr="001032A9" w:rsidRDefault="00C14F91" w:rsidP="00C14F91">
            <w:pPr>
              <w:rPr>
                <w:rFonts w:cstheme="minorHAnsi"/>
                <w:bCs/>
                <w:color w:val="000000" w:themeColor="text1"/>
                <w:lang w:val="en-GB"/>
              </w:rPr>
            </w:pPr>
            <w:r w:rsidRPr="001032A9">
              <w:rPr>
                <w:rFonts w:cstheme="minorHAnsi"/>
                <w:bCs/>
                <w:color w:val="000000" w:themeColor="text1"/>
                <w:lang w:val="en-GB"/>
              </w:rPr>
              <w:t xml:space="preserve">No </w:t>
            </w:r>
          </w:p>
        </w:tc>
        <w:tc>
          <w:tcPr>
            <w:tcW w:w="6520" w:type="dxa"/>
          </w:tcPr>
          <w:p w14:paraId="471B05FD" w14:textId="77777777" w:rsidR="00C14F91" w:rsidRPr="001032A9" w:rsidRDefault="00C14F91" w:rsidP="00C14F91">
            <w:pPr>
              <w:rPr>
                <w:rFonts w:cstheme="minorHAnsi"/>
                <w:lang w:val="en-GB"/>
              </w:rPr>
            </w:pPr>
          </w:p>
          <w:p w14:paraId="72C198A5" w14:textId="2AA9787C" w:rsidR="00C14F91" w:rsidRPr="001032A9" w:rsidRDefault="00C14F91" w:rsidP="00C14F91">
            <w:pPr>
              <w:rPr>
                <w:rFonts w:cstheme="minorHAnsi"/>
                <w:lang w:val="en-GB"/>
              </w:rPr>
            </w:pPr>
          </w:p>
        </w:tc>
      </w:tr>
      <w:tr w:rsidR="00C14F91" w:rsidRPr="001032A9" w14:paraId="4EA8B292" w14:textId="77777777" w:rsidTr="00A21390">
        <w:trPr>
          <w:trHeight w:val="432"/>
        </w:trPr>
        <w:tc>
          <w:tcPr>
            <w:tcW w:w="425" w:type="dxa"/>
          </w:tcPr>
          <w:p w14:paraId="7C319A16" w14:textId="77777777" w:rsidR="00C14F91" w:rsidRPr="001032A9" w:rsidRDefault="00C14F91" w:rsidP="00C14F91">
            <w:pPr>
              <w:pStyle w:val="Paragrafoelenco"/>
              <w:numPr>
                <w:ilvl w:val="0"/>
                <w:numId w:val="2"/>
              </w:numPr>
              <w:spacing w:line="240" w:lineRule="auto"/>
              <w:rPr>
                <w:rFonts w:asciiTheme="minorHAnsi" w:hAnsiTheme="minorHAnsi" w:cstheme="minorHAnsi"/>
                <w:lang w:val="en-GB"/>
              </w:rPr>
            </w:pPr>
          </w:p>
        </w:tc>
        <w:tc>
          <w:tcPr>
            <w:tcW w:w="5529" w:type="dxa"/>
          </w:tcPr>
          <w:p w14:paraId="15F12DA3" w14:textId="77777777" w:rsidR="00C14F91" w:rsidRPr="001032A9" w:rsidRDefault="00C14F91" w:rsidP="00C14F91">
            <w:pPr>
              <w:jc w:val="both"/>
              <w:rPr>
                <w:rFonts w:cstheme="minorHAnsi"/>
              </w:rPr>
            </w:pPr>
            <w:r w:rsidRPr="001032A9">
              <w:rPr>
                <w:rFonts w:cstheme="minorHAnsi"/>
              </w:rPr>
              <w:t xml:space="preserve">Ensure the </w:t>
            </w:r>
            <w:r w:rsidRPr="001032A9">
              <w:rPr>
                <w:rFonts w:cstheme="minorHAnsi"/>
                <w:b/>
              </w:rPr>
              <w:t>liability of travel and tourism businesses</w:t>
            </w:r>
            <w:r w:rsidRPr="001032A9">
              <w:rPr>
                <w:rFonts w:cstheme="minorHAnsi"/>
              </w:rPr>
              <w:t xml:space="preserve"> (in operations and supply chains) for criminal conduct including:</w:t>
            </w:r>
          </w:p>
          <w:p w14:paraId="60709291" w14:textId="77777777" w:rsidR="00C14F91" w:rsidRPr="001032A9" w:rsidRDefault="00C14F91" w:rsidP="00C14F91">
            <w:pPr>
              <w:pStyle w:val="Paragrafoelenco"/>
              <w:numPr>
                <w:ilvl w:val="0"/>
                <w:numId w:val="5"/>
              </w:numPr>
              <w:spacing w:line="240" w:lineRule="auto"/>
              <w:jc w:val="both"/>
              <w:rPr>
                <w:rFonts w:asciiTheme="minorHAnsi" w:hAnsiTheme="minorHAnsi" w:cstheme="minorHAnsi"/>
              </w:rPr>
            </w:pPr>
            <w:proofErr w:type="spellStart"/>
            <w:r w:rsidRPr="001032A9">
              <w:rPr>
                <w:rFonts w:asciiTheme="minorHAnsi" w:hAnsiTheme="minorHAnsi" w:cstheme="minorHAnsi"/>
              </w:rPr>
              <w:t>Organising</w:t>
            </w:r>
            <w:proofErr w:type="spellEnd"/>
            <w:r w:rsidRPr="001032A9">
              <w:rPr>
                <w:rFonts w:asciiTheme="minorHAnsi" w:hAnsiTheme="minorHAnsi" w:cstheme="minorHAnsi"/>
              </w:rPr>
              <w:t xml:space="preserve"> travel arrangements or transportation that are explicitly or implicitly meant to create or facilitate opportunities to engage (involve) children in sexual </w:t>
            </w:r>
            <w:proofErr w:type="gramStart"/>
            <w:r w:rsidRPr="001032A9">
              <w:rPr>
                <w:rFonts w:asciiTheme="minorHAnsi" w:hAnsiTheme="minorHAnsi" w:cstheme="minorHAnsi"/>
              </w:rPr>
              <w:t>activities;</w:t>
            </w:r>
            <w:proofErr w:type="gramEnd"/>
          </w:p>
          <w:p w14:paraId="59B3A209" w14:textId="77777777" w:rsidR="00C14F91" w:rsidRPr="001032A9" w:rsidRDefault="00C14F91" w:rsidP="00C14F91">
            <w:pPr>
              <w:pStyle w:val="Paragrafoelenco"/>
              <w:numPr>
                <w:ilvl w:val="0"/>
                <w:numId w:val="5"/>
              </w:numPr>
              <w:spacing w:line="240" w:lineRule="auto"/>
              <w:jc w:val="both"/>
              <w:rPr>
                <w:rFonts w:asciiTheme="minorHAnsi" w:hAnsiTheme="minorHAnsi" w:cstheme="minorHAnsi"/>
              </w:rPr>
            </w:pPr>
            <w:r w:rsidRPr="001032A9">
              <w:rPr>
                <w:rFonts w:asciiTheme="minorHAnsi" w:hAnsiTheme="minorHAnsi" w:cstheme="minorHAnsi"/>
              </w:rPr>
              <w:t xml:space="preserve">Procuring, aiding or abetting the exploitative sexual conduct with a </w:t>
            </w:r>
            <w:proofErr w:type="gramStart"/>
            <w:r w:rsidRPr="001032A9">
              <w:rPr>
                <w:rFonts w:asciiTheme="minorHAnsi" w:hAnsiTheme="minorHAnsi" w:cstheme="minorHAnsi"/>
              </w:rPr>
              <w:t>child;</w:t>
            </w:r>
            <w:proofErr w:type="gramEnd"/>
          </w:p>
          <w:p w14:paraId="5B5C198C" w14:textId="77777777" w:rsidR="00C14F91" w:rsidRPr="001032A9" w:rsidRDefault="00C14F91" w:rsidP="00C14F91">
            <w:pPr>
              <w:pStyle w:val="Paragrafoelenco"/>
              <w:numPr>
                <w:ilvl w:val="0"/>
                <w:numId w:val="5"/>
              </w:numPr>
              <w:spacing w:line="240" w:lineRule="auto"/>
              <w:jc w:val="both"/>
              <w:rPr>
                <w:rFonts w:asciiTheme="minorHAnsi" w:hAnsiTheme="minorHAnsi" w:cstheme="minorHAnsi"/>
              </w:rPr>
            </w:pPr>
            <w:r w:rsidRPr="001032A9">
              <w:rPr>
                <w:rFonts w:asciiTheme="minorHAnsi" w:hAnsiTheme="minorHAnsi" w:cstheme="minorHAnsi"/>
              </w:rPr>
              <w:t xml:space="preserve">Advertising or promoting sexual exploitation of </w:t>
            </w:r>
            <w:proofErr w:type="gramStart"/>
            <w:r w:rsidRPr="001032A9">
              <w:rPr>
                <w:rFonts w:asciiTheme="minorHAnsi" w:hAnsiTheme="minorHAnsi" w:cstheme="minorHAnsi"/>
              </w:rPr>
              <w:t>children;</w:t>
            </w:r>
            <w:proofErr w:type="gramEnd"/>
          </w:p>
          <w:p w14:paraId="774CE75F" w14:textId="77777777" w:rsidR="00C14F91" w:rsidRPr="001032A9" w:rsidRDefault="00C14F91" w:rsidP="00C14F91">
            <w:pPr>
              <w:pStyle w:val="Paragrafoelenco"/>
              <w:numPr>
                <w:ilvl w:val="0"/>
                <w:numId w:val="5"/>
              </w:numPr>
              <w:spacing w:line="240" w:lineRule="auto"/>
              <w:jc w:val="both"/>
              <w:rPr>
                <w:rFonts w:asciiTheme="minorHAnsi" w:hAnsiTheme="minorHAnsi" w:cstheme="minorHAnsi"/>
              </w:rPr>
            </w:pPr>
            <w:r w:rsidRPr="001032A9">
              <w:rPr>
                <w:rFonts w:asciiTheme="minorHAnsi" w:hAnsiTheme="minorHAnsi" w:cstheme="minorHAnsi"/>
              </w:rPr>
              <w:t>Benefitting, by any means, from any form of sexual exploitation of a child (or children) in the context of their travel and tourism business.</w:t>
            </w:r>
          </w:p>
        </w:tc>
        <w:tc>
          <w:tcPr>
            <w:tcW w:w="1701" w:type="dxa"/>
          </w:tcPr>
          <w:p w14:paraId="5C552DB5" w14:textId="41E1F08C" w:rsidR="00C14F91" w:rsidRPr="001032A9" w:rsidRDefault="00870A3E" w:rsidP="00C14F91">
            <w:pPr>
              <w:rPr>
                <w:rFonts w:cstheme="minorHAnsi"/>
                <w:bCs/>
                <w:color w:val="000000" w:themeColor="text1"/>
                <w:lang w:val="en-GB"/>
              </w:rPr>
            </w:pPr>
            <w:r>
              <w:rPr>
                <w:rFonts w:cstheme="minorHAnsi"/>
                <w:bCs/>
                <w:color w:val="000000" w:themeColor="text1"/>
                <w:lang w:val="en-GB"/>
              </w:rPr>
              <w:t>Partially</w:t>
            </w:r>
          </w:p>
        </w:tc>
        <w:tc>
          <w:tcPr>
            <w:tcW w:w="6520" w:type="dxa"/>
          </w:tcPr>
          <w:p w14:paraId="01D6851C" w14:textId="77777777" w:rsidR="00870A3E" w:rsidRPr="00870A3E" w:rsidRDefault="00870A3E" w:rsidP="00870A3E">
            <w:pPr>
              <w:rPr>
                <w:rFonts w:cstheme="minorHAnsi"/>
                <w:lang w:val="en-GB"/>
              </w:rPr>
            </w:pPr>
            <w:r w:rsidRPr="00870A3E">
              <w:rPr>
                <w:rFonts w:cstheme="minorHAnsi"/>
                <w:lang w:val="en-GB"/>
              </w:rPr>
              <w:t>Section 372 and 373 of the Myanmar Penal Code may be applicable here.</w:t>
            </w:r>
          </w:p>
          <w:p w14:paraId="1DBD2318" w14:textId="77777777" w:rsidR="00870A3E" w:rsidRPr="00870A3E" w:rsidRDefault="00870A3E" w:rsidP="00870A3E">
            <w:pPr>
              <w:rPr>
                <w:rFonts w:cstheme="minorHAnsi"/>
                <w:lang w:val="en-GB"/>
              </w:rPr>
            </w:pPr>
            <w:r w:rsidRPr="00870A3E">
              <w:rPr>
                <w:rFonts w:cstheme="minorHAnsi"/>
                <w:lang w:val="en-GB"/>
              </w:rPr>
              <w:t>Section 372 criminalises selling, letting to hire or otherwise disposing of any person under the age of eighteen years with intent that such person shall at any age be employed or used for the purpose of prostitution or illicit intercourse with any person or for any unlawful and immoral purpose, or knowing it to be likely that such person will at any age be employed or used for any such purpose, shall be punished with imprisonment of either description for a term which may extend to ten years, and shall also be liable to fine.</w:t>
            </w:r>
          </w:p>
          <w:p w14:paraId="7BF811BB" w14:textId="77777777" w:rsidR="00870A3E" w:rsidRPr="00870A3E" w:rsidRDefault="00870A3E" w:rsidP="00870A3E">
            <w:pPr>
              <w:rPr>
                <w:rFonts w:cstheme="minorHAnsi"/>
                <w:lang w:val="en-GB"/>
              </w:rPr>
            </w:pPr>
            <w:r w:rsidRPr="00870A3E">
              <w:rPr>
                <w:rFonts w:cstheme="minorHAnsi"/>
                <w:lang w:val="en-GB"/>
              </w:rPr>
              <w:t>Section 373 covers the buying, renting or otherwise obtaining possession of any person under the age of eighteen years for the same purposes as prescribed in section 372, including knowing it to be likely that such person will be used for such purposes.</w:t>
            </w:r>
          </w:p>
          <w:p w14:paraId="155DE862" w14:textId="76CD24BF" w:rsidR="00C14F91" w:rsidRPr="001032A9" w:rsidRDefault="00870A3E" w:rsidP="00870A3E">
            <w:pPr>
              <w:rPr>
                <w:rFonts w:cstheme="minorHAnsi"/>
                <w:lang w:val="en-GB"/>
              </w:rPr>
            </w:pPr>
            <w:r w:rsidRPr="00870A3E">
              <w:rPr>
                <w:rFonts w:cstheme="minorHAnsi"/>
                <w:lang w:val="en-GB"/>
              </w:rPr>
              <w:t>Corporate liability may arise in Myanmar when an employee of a company has committed an offense 359 – 374 Penal Code while working under the name of the company.</w:t>
            </w:r>
          </w:p>
        </w:tc>
      </w:tr>
      <w:tr w:rsidR="00C14F91" w:rsidRPr="001032A9" w14:paraId="30AF292A" w14:textId="77777777" w:rsidTr="00A21390">
        <w:trPr>
          <w:trHeight w:val="720"/>
        </w:trPr>
        <w:tc>
          <w:tcPr>
            <w:tcW w:w="425" w:type="dxa"/>
          </w:tcPr>
          <w:p w14:paraId="38D76301" w14:textId="77777777" w:rsidR="00C14F91" w:rsidRPr="001032A9" w:rsidRDefault="00C14F91" w:rsidP="00C14F91">
            <w:pPr>
              <w:pStyle w:val="Paragrafoelenco"/>
              <w:numPr>
                <w:ilvl w:val="0"/>
                <w:numId w:val="2"/>
              </w:numPr>
              <w:spacing w:line="240" w:lineRule="auto"/>
              <w:rPr>
                <w:rFonts w:asciiTheme="minorHAnsi" w:hAnsiTheme="minorHAnsi" w:cstheme="minorHAnsi"/>
                <w:lang w:val="en-GB"/>
              </w:rPr>
            </w:pPr>
          </w:p>
        </w:tc>
        <w:tc>
          <w:tcPr>
            <w:tcW w:w="5529" w:type="dxa"/>
          </w:tcPr>
          <w:p w14:paraId="39FE00A5" w14:textId="77777777" w:rsidR="00C14F91" w:rsidRPr="001032A9" w:rsidRDefault="00C14F91" w:rsidP="00C14F91">
            <w:pPr>
              <w:rPr>
                <w:rFonts w:cstheme="minorHAnsi"/>
                <w:lang w:val="en-GB"/>
              </w:rPr>
            </w:pPr>
            <w:proofErr w:type="spellStart"/>
            <w:r w:rsidRPr="001032A9">
              <w:rPr>
                <w:rFonts w:eastAsia="Calibri" w:cstheme="minorHAnsi"/>
              </w:rPr>
              <w:t>Criminalise</w:t>
            </w:r>
            <w:proofErr w:type="spellEnd"/>
            <w:r w:rsidRPr="001032A9">
              <w:rPr>
                <w:rFonts w:eastAsia="Calibri" w:cstheme="minorHAnsi"/>
              </w:rPr>
              <w:t xml:space="preserve"> the </w:t>
            </w:r>
            <w:r w:rsidRPr="001032A9">
              <w:rPr>
                <w:rFonts w:eastAsia="Calibri" w:cstheme="minorHAnsi"/>
                <w:b/>
              </w:rPr>
              <w:t>grooming of children for sexual purposes</w:t>
            </w:r>
            <w:r w:rsidRPr="001032A9">
              <w:rPr>
                <w:rFonts w:eastAsia="Calibri" w:cstheme="minorHAnsi"/>
              </w:rPr>
              <w:t xml:space="preserve"> (often called ‘solicitation’ in </w:t>
            </w:r>
            <w:proofErr w:type="gramStart"/>
            <w:r w:rsidRPr="001032A9">
              <w:rPr>
                <w:rFonts w:eastAsia="Calibri" w:cstheme="minorHAnsi"/>
              </w:rPr>
              <w:t>law)  including</w:t>
            </w:r>
            <w:proofErr w:type="gramEnd"/>
            <w:r w:rsidRPr="001032A9">
              <w:rPr>
                <w:rFonts w:eastAsia="Calibri" w:cstheme="minorHAnsi"/>
              </w:rPr>
              <w:t xml:space="preserve"> through Internet and other communication technologies to facilitate either online or offline sexual exploitation.</w:t>
            </w:r>
          </w:p>
        </w:tc>
        <w:tc>
          <w:tcPr>
            <w:tcW w:w="1701" w:type="dxa"/>
          </w:tcPr>
          <w:p w14:paraId="606B8744" w14:textId="0F593AA7" w:rsidR="00C14F91" w:rsidRPr="001032A9" w:rsidRDefault="00DA1893" w:rsidP="00C14F91">
            <w:pPr>
              <w:rPr>
                <w:rFonts w:cstheme="minorHAnsi"/>
                <w:bCs/>
                <w:color w:val="000000" w:themeColor="text1"/>
                <w:lang w:val="en-GB"/>
              </w:rPr>
            </w:pPr>
            <w:r>
              <w:rPr>
                <w:rFonts w:cstheme="minorHAnsi"/>
                <w:bCs/>
                <w:color w:val="000000" w:themeColor="text1"/>
                <w:lang w:val="en-GB"/>
              </w:rPr>
              <w:t>No</w:t>
            </w:r>
          </w:p>
        </w:tc>
        <w:tc>
          <w:tcPr>
            <w:tcW w:w="6520" w:type="dxa"/>
          </w:tcPr>
          <w:p w14:paraId="183126EE" w14:textId="6D2BDFFF" w:rsidR="00C14F91" w:rsidRPr="001032A9" w:rsidRDefault="00C14F91" w:rsidP="00C14F91">
            <w:pPr>
              <w:rPr>
                <w:rFonts w:cstheme="minorHAnsi"/>
                <w:lang w:val="en-GB"/>
              </w:rPr>
            </w:pPr>
          </w:p>
        </w:tc>
      </w:tr>
      <w:tr w:rsidR="00C14F91" w:rsidRPr="001032A9" w14:paraId="0A518CF9" w14:textId="77777777" w:rsidTr="00A21390">
        <w:trPr>
          <w:trHeight w:val="576"/>
        </w:trPr>
        <w:tc>
          <w:tcPr>
            <w:tcW w:w="425" w:type="dxa"/>
          </w:tcPr>
          <w:p w14:paraId="4ACB0CA5" w14:textId="77777777" w:rsidR="00C14F91" w:rsidRPr="001032A9" w:rsidRDefault="00C14F91" w:rsidP="00C14F91">
            <w:pPr>
              <w:pStyle w:val="Paragrafoelenco"/>
              <w:numPr>
                <w:ilvl w:val="0"/>
                <w:numId w:val="2"/>
              </w:numPr>
              <w:spacing w:line="240" w:lineRule="auto"/>
              <w:rPr>
                <w:rFonts w:asciiTheme="minorHAnsi" w:hAnsiTheme="minorHAnsi" w:cstheme="minorHAnsi"/>
                <w:lang w:val="en-GB"/>
              </w:rPr>
            </w:pPr>
          </w:p>
        </w:tc>
        <w:tc>
          <w:tcPr>
            <w:tcW w:w="5529" w:type="dxa"/>
          </w:tcPr>
          <w:p w14:paraId="6AB0EE5B" w14:textId="77777777" w:rsidR="00C14F91" w:rsidRPr="001032A9" w:rsidRDefault="00C14F91" w:rsidP="00C14F91">
            <w:pPr>
              <w:rPr>
                <w:rFonts w:cstheme="minorHAnsi"/>
              </w:rPr>
            </w:pPr>
            <w:r w:rsidRPr="001032A9">
              <w:rPr>
                <w:rFonts w:eastAsia="Calibri" w:cstheme="minorHAnsi"/>
              </w:rPr>
              <w:t xml:space="preserve">Establish legislation requiring for a </w:t>
            </w:r>
            <w:r w:rsidRPr="001032A9">
              <w:rPr>
                <w:rFonts w:eastAsia="Calibri" w:cstheme="minorHAnsi"/>
                <w:b/>
              </w:rPr>
              <w:t>criminal background check</w:t>
            </w:r>
            <w:r w:rsidRPr="001032A9">
              <w:rPr>
                <w:rFonts w:eastAsia="Calibri" w:cstheme="minorHAnsi"/>
              </w:rPr>
              <w:t xml:space="preserve"> for every person (national or non-national) applying for work with or for children or who is currently working with or for children. Introduce legislation prohibiting </w:t>
            </w:r>
            <w:r w:rsidRPr="001032A9">
              <w:rPr>
                <w:rFonts w:eastAsia="Calibri" w:cstheme="minorHAnsi"/>
              </w:rPr>
              <w:lastRenderedPageBreak/>
              <w:t>convicted sex offenders to hold positions involving or facilitating contact with children.</w:t>
            </w:r>
          </w:p>
        </w:tc>
        <w:tc>
          <w:tcPr>
            <w:tcW w:w="1701" w:type="dxa"/>
          </w:tcPr>
          <w:p w14:paraId="20B4FFCA" w14:textId="77777777" w:rsidR="00C14F91" w:rsidRPr="001032A9" w:rsidRDefault="00C14F91" w:rsidP="00C14F91">
            <w:pPr>
              <w:rPr>
                <w:rFonts w:cstheme="minorHAnsi"/>
                <w:bCs/>
                <w:color w:val="000000" w:themeColor="text1"/>
                <w:lang w:val="en-GB"/>
              </w:rPr>
            </w:pPr>
            <w:r w:rsidRPr="001032A9">
              <w:rPr>
                <w:rFonts w:cstheme="minorHAnsi"/>
                <w:bCs/>
                <w:color w:val="000000" w:themeColor="text1"/>
                <w:lang w:val="en-GB"/>
              </w:rPr>
              <w:lastRenderedPageBreak/>
              <w:t>No</w:t>
            </w:r>
          </w:p>
        </w:tc>
        <w:tc>
          <w:tcPr>
            <w:tcW w:w="6520" w:type="dxa"/>
          </w:tcPr>
          <w:p w14:paraId="6A2436A7" w14:textId="5F4F4AC1" w:rsidR="00C14F91" w:rsidRPr="001032A9" w:rsidRDefault="00C14F91" w:rsidP="00C14F91">
            <w:pPr>
              <w:rPr>
                <w:rFonts w:cstheme="minorHAnsi"/>
                <w:lang w:val="en-GB"/>
              </w:rPr>
            </w:pPr>
          </w:p>
        </w:tc>
      </w:tr>
      <w:tr w:rsidR="00C14F91" w:rsidRPr="001032A9" w14:paraId="33B6D015" w14:textId="77777777" w:rsidTr="00A21390">
        <w:trPr>
          <w:trHeight w:val="576"/>
        </w:trPr>
        <w:tc>
          <w:tcPr>
            <w:tcW w:w="425" w:type="dxa"/>
          </w:tcPr>
          <w:p w14:paraId="7599D9F0" w14:textId="77777777" w:rsidR="00C14F91" w:rsidRPr="001032A9" w:rsidRDefault="00C14F91" w:rsidP="00C14F91">
            <w:pPr>
              <w:pStyle w:val="Paragrafoelenco"/>
              <w:numPr>
                <w:ilvl w:val="0"/>
                <w:numId w:val="2"/>
              </w:numPr>
              <w:spacing w:line="240" w:lineRule="auto"/>
              <w:rPr>
                <w:rFonts w:asciiTheme="minorHAnsi" w:hAnsiTheme="minorHAnsi" w:cstheme="minorHAnsi"/>
                <w:lang w:val="en-GB"/>
              </w:rPr>
            </w:pPr>
          </w:p>
        </w:tc>
        <w:tc>
          <w:tcPr>
            <w:tcW w:w="5529" w:type="dxa"/>
          </w:tcPr>
          <w:p w14:paraId="2A4AAFD8" w14:textId="77777777" w:rsidR="00C14F91" w:rsidRPr="001032A9" w:rsidRDefault="00C14F91" w:rsidP="00C14F91">
            <w:pPr>
              <w:rPr>
                <w:rFonts w:cstheme="minorHAnsi"/>
                <w:lang w:val="en-GB"/>
              </w:rPr>
            </w:pPr>
            <w:r w:rsidRPr="001032A9">
              <w:rPr>
                <w:rFonts w:eastAsia="Calibri" w:cstheme="minorHAnsi"/>
              </w:rPr>
              <w:t xml:space="preserve">Regulate and monitor the use of volunteers (including in </w:t>
            </w:r>
            <w:r w:rsidRPr="001032A9">
              <w:rPr>
                <w:rFonts w:eastAsia="Calibri" w:cstheme="minorHAnsi"/>
                <w:b/>
              </w:rPr>
              <w:t>‘voluntourism’</w:t>
            </w:r>
            <w:r w:rsidRPr="001032A9">
              <w:rPr>
                <w:rFonts w:eastAsia="Calibri" w:cstheme="minorHAnsi"/>
              </w:rPr>
              <w:t xml:space="preserve">) in settings and activities that involve direct contact with children, particularly prohibiting visits to orphanages/residential care settings in </w:t>
            </w:r>
            <w:proofErr w:type="spellStart"/>
            <w:r w:rsidRPr="001032A9">
              <w:rPr>
                <w:rFonts w:eastAsia="Calibri" w:cstheme="minorHAnsi"/>
              </w:rPr>
              <w:t>favour</w:t>
            </w:r>
            <w:proofErr w:type="spellEnd"/>
            <w:r w:rsidRPr="001032A9">
              <w:rPr>
                <w:rFonts w:eastAsia="Calibri" w:cstheme="minorHAnsi"/>
              </w:rPr>
              <w:t xml:space="preserve"> of redirecting the industry towards solutions that support community-based care.</w:t>
            </w:r>
          </w:p>
        </w:tc>
        <w:tc>
          <w:tcPr>
            <w:tcW w:w="1701" w:type="dxa"/>
          </w:tcPr>
          <w:p w14:paraId="0E48BB6D" w14:textId="77777777" w:rsidR="00C14F91" w:rsidRPr="001032A9" w:rsidRDefault="00C14F91" w:rsidP="00C14F91">
            <w:pPr>
              <w:rPr>
                <w:rFonts w:cstheme="minorHAnsi"/>
                <w:bCs/>
                <w:color w:val="000000" w:themeColor="text1"/>
                <w:lang w:val="en-GB"/>
              </w:rPr>
            </w:pPr>
            <w:r w:rsidRPr="001032A9">
              <w:rPr>
                <w:rFonts w:cstheme="minorHAnsi"/>
                <w:bCs/>
                <w:color w:val="000000" w:themeColor="text1"/>
                <w:lang w:val="en-GB"/>
              </w:rPr>
              <w:t xml:space="preserve">No </w:t>
            </w:r>
          </w:p>
        </w:tc>
        <w:tc>
          <w:tcPr>
            <w:tcW w:w="6520" w:type="dxa"/>
          </w:tcPr>
          <w:p w14:paraId="174B02CA" w14:textId="77777777" w:rsidR="00C14F91" w:rsidRPr="001032A9" w:rsidRDefault="00C14F91" w:rsidP="00C14F91">
            <w:pPr>
              <w:rPr>
                <w:rFonts w:cstheme="minorHAnsi"/>
                <w:lang w:val="en-GB"/>
              </w:rPr>
            </w:pPr>
          </w:p>
        </w:tc>
      </w:tr>
      <w:tr w:rsidR="00C14F91" w:rsidRPr="001032A9" w14:paraId="4A1A0F88" w14:textId="77777777" w:rsidTr="00A21390">
        <w:trPr>
          <w:trHeight w:val="2684"/>
        </w:trPr>
        <w:tc>
          <w:tcPr>
            <w:tcW w:w="425" w:type="dxa"/>
          </w:tcPr>
          <w:p w14:paraId="07598129" w14:textId="77777777" w:rsidR="00C14F91" w:rsidRPr="001032A9" w:rsidRDefault="00C14F91" w:rsidP="00C14F91">
            <w:pPr>
              <w:pStyle w:val="Paragrafoelenco"/>
              <w:numPr>
                <w:ilvl w:val="0"/>
                <w:numId w:val="2"/>
              </w:numPr>
              <w:spacing w:line="240" w:lineRule="auto"/>
              <w:rPr>
                <w:rFonts w:asciiTheme="minorHAnsi" w:hAnsiTheme="minorHAnsi" w:cstheme="minorHAnsi"/>
                <w:lang w:val="en-GB"/>
              </w:rPr>
            </w:pPr>
          </w:p>
        </w:tc>
        <w:tc>
          <w:tcPr>
            <w:tcW w:w="5529" w:type="dxa"/>
          </w:tcPr>
          <w:p w14:paraId="0FBCB8F8" w14:textId="77777777" w:rsidR="00C14F91" w:rsidRPr="001032A9" w:rsidRDefault="00C14F91" w:rsidP="00C14F91">
            <w:pPr>
              <w:rPr>
                <w:rFonts w:cstheme="minorHAnsi"/>
                <w:lang w:val="en-GB"/>
              </w:rPr>
            </w:pPr>
            <w:r w:rsidRPr="001032A9">
              <w:rPr>
                <w:rFonts w:eastAsia="Calibri" w:cstheme="minorHAnsi"/>
              </w:rPr>
              <w:t xml:space="preserve">Ratify and implement relevant </w:t>
            </w:r>
            <w:r w:rsidRPr="001032A9">
              <w:rPr>
                <w:rFonts w:eastAsia="Calibri" w:cstheme="minorHAnsi"/>
                <w:b/>
              </w:rPr>
              <w:t xml:space="preserve">regional and international instruments </w:t>
            </w:r>
            <w:r w:rsidRPr="001032A9">
              <w:rPr>
                <w:rFonts w:eastAsia="Calibri" w:cstheme="minorHAnsi"/>
              </w:rPr>
              <w:t>related to child’s rights and sexual exploitation of children.</w:t>
            </w:r>
          </w:p>
        </w:tc>
        <w:tc>
          <w:tcPr>
            <w:tcW w:w="1701" w:type="dxa"/>
          </w:tcPr>
          <w:p w14:paraId="5610C8FA" w14:textId="77777777" w:rsidR="00C14F91" w:rsidRPr="001032A9" w:rsidRDefault="00C14F91" w:rsidP="00C14F91">
            <w:pPr>
              <w:rPr>
                <w:rFonts w:cstheme="minorHAnsi"/>
                <w:bCs/>
                <w:color w:val="000000" w:themeColor="text1"/>
                <w:lang w:val="en-GB"/>
              </w:rPr>
            </w:pPr>
            <w:r w:rsidRPr="001032A9">
              <w:rPr>
                <w:rFonts w:cstheme="minorHAnsi"/>
                <w:bCs/>
                <w:color w:val="000000" w:themeColor="text1"/>
                <w:lang w:val="en-GB"/>
              </w:rPr>
              <w:t>Partially</w:t>
            </w:r>
          </w:p>
        </w:tc>
        <w:tc>
          <w:tcPr>
            <w:tcW w:w="6520" w:type="dxa"/>
          </w:tcPr>
          <w:p w14:paraId="4778AE20" w14:textId="77777777" w:rsidR="00DA1893" w:rsidRPr="00DA1893" w:rsidRDefault="00DA1893" w:rsidP="00DA1893">
            <w:pPr>
              <w:pStyle w:val="Paragrafoelenco"/>
              <w:numPr>
                <w:ilvl w:val="0"/>
                <w:numId w:val="1"/>
              </w:numPr>
              <w:ind w:hanging="252"/>
              <w:rPr>
                <w:rFonts w:asciiTheme="minorHAnsi" w:eastAsia="Times New Roman" w:hAnsiTheme="minorHAnsi" w:cstheme="minorHAnsi"/>
                <w:lang w:val="en-GB"/>
              </w:rPr>
            </w:pPr>
            <w:r w:rsidRPr="00DA1893">
              <w:rPr>
                <w:rFonts w:asciiTheme="minorHAnsi" w:eastAsia="Times New Roman" w:hAnsiTheme="minorHAnsi" w:cstheme="minorHAnsi"/>
                <w:lang w:val="en-GB"/>
              </w:rPr>
              <w:t xml:space="preserve">Convention on the Rights of the Child (CRC) </w:t>
            </w:r>
            <w:r w:rsidRPr="00DA1893">
              <w:rPr>
                <w:rFonts w:asciiTheme="minorHAnsi" w:eastAsia="Times New Roman" w:hAnsiTheme="minorHAnsi" w:cstheme="minorHAnsi"/>
                <w:color w:val="146B42"/>
                <w:lang w:val="en-GB"/>
              </w:rPr>
              <w:t>Accession in 1991</w:t>
            </w:r>
          </w:p>
          <w:p w14:paraId="7BBCEE0B" w14:textId="77777777" w:rsidR="00DA1893" w:rsidRPr="00DA1893" w:rsidRDefault="00DA1893" w:rsidP="00DA1893">
            <w:pPr>
              <w:pStyle w:val="Paragrafoelenco"/>
              <w:numPr>
                <w:ilvl w:val="0"/>
                <w:numId w:val="1"/>
              </w:numPr>
              <w:ind w:hanging="252"/>
              <w:rPr>
                <w:rFonts w:asciiTheme="minorHAnsi" w:eastAsia="Times New Roman" w:hAnsiTheme="minorHAnsi" w:cstheme="minorHAnsi"/>
                <w:lang w:val="en-GB"/>
              </w:rPr>
            </w:pPr>
            <w:r w:rsidRPr="00DA1893">
              <w:rPr>
                <w:rFonts w:asciiTheme="minorHAnsi" w:eastAsia="Times New Roman" w:hAnsiTheme="minorHAnsi" w:cstheme="minorHAnsi"/>
                <w:lang w:val="en-GB"/>
              </w:rPr>
              <w:t xml:space="preserve">Optional Protocol to the CRC on the Sale of Children, Child Prostitution and Child Pornography </w:t>
            </w:r>
            <w:r w:rsidRPr="00DA1893">
              <w:rPr>
                <w:rFonts w:asciiTheme="minorHAnsi" w:eastAsia="Times New Roman" w:hAnsiTheme="minorHAnsi" w:cstheme="minorHAnsi"/>
                <w:color w:val="146B42"/>
                <w:lang w:val="en-GB"/>
              </w:rPr>
              <w:t>Accession in 2012</w:t>
            </w:r>
          </w:p>
          <w:p w14:paraId="1A0515D5" w14:textId="77777777" w:rsidR="00DA1893" w:rsidRPr="00DA1893" w:rsidRDefault="00DA1893" w:rsidP="00DA1893">
            <w:pPr>
              <w:pStyle w:val="Paragrafoelenco"/>
              <w:numPr>
                <w:ilvl w:val="0"/>
                <w:numId w:val="1"/>
              </w:numPr>
              <w:ind w:hanging="252"/>
              <w:rPr>
                <w:rFonts w:asciiTheme="minorHAnsi" w:eastAsia="Times New Roman" w:hAnsiTheme="minorHAnsi" w:cstheme="minorHAnsi"/>
                <w:lang w:val="en-GB"/>
              </w:rPr>
            </w:pPr>
            <w:r w:rsidRPr="00DA1893">
              <w:rPr>
                <w:rFonts w:asciiTheme="minorHAnsi" w:eastAsia="Times New Roman" w:hAnsiTheme="minorHAnsi" w:cstheme="minorHAnsi"/>
                <w:lang w:val="en-GB"/>
              </w:rPr>
              <w:t xml:space="preserve">Optional Protocol to the CRC on a Communications Procedure (OP3 CRC) </w:t>
            </w:r>
            <w:r w:rsidRPr="00DA1893">
              <w:rPr>
                <w:rFonts w:asciiTheme="minorHAnsi" w:eastAsia="Times New Roman" w:hAnsiTheme="minorHAnsi" w:cstheme="minorHAnsi"/>
                <w:color w:val="FF0000"/>
                <w:lang w:val="en-GB"/>
              </w:rPr>
              <w:t>Not signed</w:t>
            </w:r>
          </w:p>
          <w:p w14:paraId="50234D57" w14:textId="77777777" w:rsidR="00DA1893" w:rsidRPr="00DA1893" w:rsidRDefault="00DA1893" w:rsidP="00DA1893">
            <w:pPr>
              <w:pStyle w:val="Paragrafoelenco"/>
              <w:numPr>
                <w:ilvl w:val="0"/>
                <w:numId w:val="1"/>
              </w:numPr>
              <w:ind w:hanging="252"/>
              <w:rPr>
                <w:rFonts w:asciiTheme="minorHAnsi" w:eastAsia="Times New Roman" w:hAnsiTheme="minorHAnsi" w:cstheme="minorHAnsi"/>
                <w:b/>
                <w:bCs/>
                <w:color w:val="00B050"/>
                <w:lang w:val="en-GB"/>
              </w:rPr>
            </w:pPr>
            <w:r w:rsidRPr="00DA1893">
              <w:rPr>
                <w:rFonts w:asciiTheme="minorHAnsi" w:eastAsia="Times New Roman" w:hAnsiTheme="minorHAnsi" w:cstheme="minorHAnsi"/>
                <w:lang w:val="en-GB"/>
              </w:rPr>
              <w:t xml:space="preserve">Protocol to Prevent, Suppress and Punish Trafficking in Persons, especially Women and Children </w:t>
            </w:r>
            <w:r w:rsidRPr="00DA1893">
              <w:rPr>
                <w:rFonts w:asciiTheme="minorHAnsi" w:eastAsia="Times New Roman" w:hAnsiTheme="minorHAnsi" w:cstheme="minorHAnsi"/>
                <w:color w:val="146B42"/>
                <w:lang w:val="en-GB"/>
              </w:rPr>
              <w:t>Accession in 2004</w:t>
            </w:r>
          </w:p>
          <w:p w14:paraId="755AEEF3" w14:textId="77777777" w:rsidR="00DA1893" w:rsidRPr="00DA1893" w:rsidRDefault="00DA1893" w:rsidP="00DA1893">
            <w:pPr>
              <w:pStyle w:val="Paragrafoelenco"/>
              <w:numPr>
                <w:ilvl w:val="0"/>
                <w:numId w:val="1"/>
              </w:numPr>
              <w:ind w:hanging="252"/>
              <w:rPr>
                <w:rFonts w:asciiTheme="minorHAnsi" w:eastAsia="Times New Roman" w:hAnsiTheme="minorHAnsi" w:cstheme="minorHAnsi"/>
                <w:lang w:val="en-GB"/>
              </w:rPr>
            </w:pPr>
            <w:r w:rsidRPr="00DA1893">
              <w:rPr>
                <w:rFonts w:asciiTheme="minorHAnsi" w:eastAsia="Times New Roman" w:hAnsiTheme="minorHAnsi" w:cstheme="minorHAnsi"/>
                <w:lang w:val="en-GB"/>
              </w:rPr>
              <w:t xml:space="preserve">ILO Convention concerning the Prohibition and Immediate Action for the Elimination of the Worst Forms of Child Labour No.182 </w:t>
            </w:r>
            <w:r w:rsidRPr="00DA1893">
              <w:rPr>
                <w:rFonts w:asciiTheme="minorHAnsi" w:eastAsia="Times New Roman" w:hAnsiTheme="minorHAnsi" w:cstheme="minorHAnsi"/>
                <w:color w:val="146B42"/>
                <w:lang w:val="en-GB"/>
              </w:rPr>
              <w:t>Ratified in 2013</w:t>
            </w:r>
          </w:p>
          <w:p w14:paraId="621B3DAD" w14:textId="3C8DD325" w:rsidR="00C14F91" w:rsidRPr="001032A9" w:rsidRDefault="00DA1893" w:rsidP="00DA1893">
            <w:pPr>
              <w:pStyle w:val="Paragrafoelenco"/>
              <w:numPr>
                <w:ilvl w:val="0"/>
                <w:numId w:val="1"/>
              </w:numPr>
              <w:rPr>
                <w:rFonts w:asciiTheme="minorHAnsi" w:eastAsia="Calibri" w:hAnsiTheme="minorHAnsi" w:cstheme="minorHAnsi"/>
              </w:rPr>
            </w:pPr>
            <w:r w:rsidRPr="00DA1893">
              <w:rPr>
                <w:rFonts w:asciiTheme="minorHAnsi" w:eastAsia="Times New Roman" w:hAnsiTheme="minorHAnsi" w:cstheme="minorHAnsi"/>
                <w:szCs w:val="22"/>
                <w:lang w:val="en-GB"/>
              </w:rPr>
              <w:t xml:space="preserve">United Nations World Tourism Organisation (UNWTO) Framework Convention on Tourism Ethics </w:t>
            </w:r>
            <w:r w:rsidRPr="00DA1893">
              <w:rPr>
                <w:rFonts w:asciiTheme="minorHAnsi" w:eastAsia="Times New Roman" w:hAnsiTheme="minorHAnsi" w:cstheme="minorHAnsi"/>
                <w:color w:val="FF0000"/>
                <w:lang w:val="en-GB"/>
              </w:rPr>
              <w:t>Not ratified</w:t>
            </w:r>
          </w:p>
        </w:tc>
      </w:tr>
      <w:tr w:rsidR="00DA1893" w:rsidRPr="001032A9" w14:paraId="7C23846E" w14:textId="77777777" w:rsidTr="00A21390">
        <w:trPr>
          <w:trHeight w:val="1280"/>
        </w:trPr>
        <w:tc>
          <w:tcPr>
            <w:tcW w:w="425" w:type="dxa"/>
          </w:tcPr>
          <w:p w14:paraId="64D2ADA5" w14:textId="77777777" w:rsidR="00DA1893" w:rsidRPr="001032A9" w:rsidRDefault="00DA1893" w:rsidP="00DA1893">
            <w:pPr>
              <w:pStyle w:val="Paragrafoelenco"/>
              <w:numPr>
                <w:ilvl w:val="0"/>
                <w:numId w:val="2"/>
              </w:numPr>
              <w:spacing w:line="240" w:lineRule="auto"/>
              <w:rPr>
                <w:rFonts w:asciiTheme="minorHAnsi" w:hAnsiTheme="minorHAnsi" w:cstheme="minorHAnsi"/>
                <w:lang w:val="en-GB"/>
              </w:rPr>
            </w:pPr>
          </w:p>
        </w:tc>
        <w:tc>
          <w:tcPr>
            <w:tcW w:w="5529" w:type="dxa"/>
          </w:tcPr>
          <w:p w14:paraId="015C7999" w14:textId="77777777" w:rsidR="00DA1893" w:rsidRPr="001032A9" w:rsidRDefault="00DA1893" w:rsidP="00DA1893">
            <w:pPr>
              <w:rPr>
                <w:rFonts w:cstheme="minorHAnsi"/>
                <w:lang w:val="en-GB"/>
              </w:rPr>
            </w:pPr>
            <w:r w:rsidRPr="001032A9">
              <w:rPr>
                <w:rFonts w:eastAsia="Calibri" w:cstheme="minorHAnsi"/>
              </w:rPr>
              <w:t xml:space="preserve">Establish </w:t>
            </w:r>
            <w:r w:rsidRPr="001032A9">
              <w:rPr>
                <w:rFonts w:eastAsia="Calibri" w:cstheme="minorHAnsi"/>
                <w:b/>
              </w:rPr>
              <w:t>protection measures</w:t>
            </w:r>
            <w:r w:rsidRPr="001032A9">
              <w:rPr>
                <w:rFonts w:eastAsia="Calibri" w:cstheme="minorHAnsi"/>
              </w:rPr>
              <w:t xml:space="preserve"> for child victims at any stage of the legal process against the suspected offender.</w:t>
            </w:r>
          </w:p>
        </w:tc>
        <w:tc>
          <w:tcPr>
            <w:tcW w:w="1701" w:type="dxa"/>
          </w:tcPr>
          <w:p w14:paraId="53B19036" w14:textId="1367E453" w:rsidR="00DA1893" w:rsidRPr="001032A9" w:rsidRDefault="00DA1893" w:rsidP="00DA1893">
            <w:pPr>
              <w:rPr>
                <w:rFonts w:cstheme="minorHAnsi"/>
                <w:bCs/>
                <w:color w:val="000000" w:themeColor="text1"/>
                <w:lang w:val="en-GB"/>
              </w:rPr>
            </w:pPr>
            <w:r w:rsidRPr="001032A9">
              <w:rPr>
                <w:rFonts w:cstheme="minorHAnsi"/>
                <w:bCs/>
                <w:color w:val="000000" w:themeColor="text1"/>
                <w:lang w:val="en-GB"/>
              </w:rPr>
              <w:t>Partially</w:t>
            </w:r>
          </w:p>
        </w:tc>
        <w:tc>
          <w:tcPr>
            <w:tcW w:w="6520" w:type="dxa"/>
          </w:tcPr>
          <w:p w14:paraId="4E80E90F" w14:textId="77777777" w:rsidR="00DA1893" w:rsidRDefault="00DA1893" w:rsidP="00DA1893">
            <w:pPr>
              <w:jc w:val="both"/>
              <w:rPr>
                <w:rFonts w:ascii="Calibri" w:hAnsi="Calibri" w:cs="Calibri"/>
              </w:rPr>
            </w:pPr>
            <w:r w:rsidRPr="00AD772E">
              <w:rPr>
                <w:rFonts w:ascii="Calibri" w:hAnsi="Calibri" w:cs="Calibri"/>
              </w:rPr>
              <w:t>According to Section 12 of the Anti-Trafficking in Persons Act 2005, “The Central Body shall, if the trafficked victims are women, children and youth, make necessary arrangements for the preservation of dignity, physical and mental security”.</w:t>
            </w:r>
            <w:r>
              <w:rPr>
                <w:rFonts w:ascii="Calibri" w:hAnsi="Calibri" w:cs="Calibri"/>
              </w:rPr>
              <w:t xml:space="preserve"> Central Body is the Central Body for Suppression of Trafficking in Persons established under Chapter III of the Act. </w:t>
            </w:r>
          </w:p>
          <w:p w14:paraId="4279BAB1" w14:textId="77777777" w:rsidR="00DA1893" w:rsidRDefault="00DA1893" w:rsidP="00DA1893">
            <w:pPr>
              <w:jc w:val="both"/>
              <w:rPr>
                <w:rFonts w:ascii="Calibri" w:hAnsi="Calibri" w:cs="Calibri"/>
              </w:rPr>
            </w:pPr>
            <w:r>
              <w:rPr>
                <w:rFonts w:ascii="Calibri" w:hAnsi="Calibri" w:cs="Calibri"/>
              </w:rPr>
              <w:t xml:space="preserve">Further the Act provides under Section 14, </w:t>
            </w:r>
            <w:r w:rsidRPr="00AD772E">
              <w:rPr>
                <w:rFonts w:ascii="Calibri" w:hAnsi="Calibri" w:cs="Calibri"/>
              </w:rPr>
              <w:t>“the Central Body shall arrange and carry out for the security of life of trafficked victims and to arrange according to their wishes for repatriation and resettlement as much as possible”.</w:t>
            </w:r>
            <w:r>
              <w:rPr>
                <w:rFonts w:ascii="Calibri" w:hAnsi="Calibri" w:cs="Calibri"/>
              </w:rPr>
              <w:t xml:space="preserve"> </w:t>
            </w:r>
          </w:p>
          <w:p w14:paraId="18B53E4B" w14:textId="52FBF4C3" w:rsidR="00DA1893" w:rsidRPr="001032A9" w:rsidRDefault="00DA1893" w:rsidP="00DA1893">
            <w:pPr>
              <w:rPr>
                <w:rFonts w:cstheme="minorHAnsi"/>
                <w:lang w:val="en-GB"/>
              </w:rPr>
            </w:pPr>
            <w:r>
              <w:rPr>
                <w:rFonts w:ascii="Calibri" w:hAnsi="Calibri" w:cs="Calibri"/>
              </w:rPr>
              <w:t xml:space="preserve">Chapter VI (Sections 16-18) of the Act exclusively deals with the provision of special protection to the child victims of trafficking. </w:t>
            </w:r>
          </w:p>
        </w:tc>
      </w:tr>
      <w:tr w:rsidR="00BE2FAE" w:rsidRPr="001032A9" w14:paraId="115EA3C7" w14:textId="77777777" w:rsidTr="00A21390">
        <w:trPr>
          <w:trHeight w:val="557"/>
        </w:trPr>
        <w:tc>
          <w:tcPr>
            <w:tcW w:w="425" w:type="dxa"/>
          </w:tcPr>
          <w:p w14:paraId="799C7136" w14:textId="77777777" w:rsidR="00BE2FAE" w:rsidRPr="001032A9" w:rsidRDefault="00BE2FAE" w:rsidP="00BE2FAE">
            <w:pPr>
              <w:pStyle w:val="Paragrafoelenco"/>
              <w:numPr>
                <w:ilvl w:val="0"/>
                <w:numId w:val="2"/>
              </w:numPr>
              <w:spacing w:line="240" w:lineRule="auto"/>
              <w:rPr>
                <w:rFonts w:asciiTheme="minorHAnsi" w:hAnsiTheme="minorHAnsi" w:cstheme="minorHAnsi"/>
                <w:lang w:val="en-GB"/>
              </w:rPr>
            </w:pPr>
          </w:p>
        </w:tc>
        <w:tc>
          <w:tcPr>
            <w:tcW w:w="5529" w:type="dxa"/>
          </w:tcPr>
          <w:p w14:paraId="01B00B33" w14:textId="77777777" w:rsidR="00BE2FAE" w:rsidRPr="001032A9" w:rsidRDefault="00BE2FAE" w:rsidP="00BE2FAE">
            <w:pPr>
              <w:spacing w:after="160" w:line="259" w:lineRule="auto"/>
              <w:jc w:val="both"/>
              <w:rPr>
                <w:rFonts w:cstheme="minorHAnsi"/>
              </w:rPr>
            </w:pPr>
            <w:r w:rsidRPr="001032A9">
              <w:rPr>
                <w:rFonts w:cstheme="minorHAnsi"/>
              </w:rPr>
              <w:t xml:space="preserve">Establish </w:t>
            </w:r>
            <w:r w:rsidRPr="001032A9">
              <w:rPr>
                <w:rFonts w:cstheme="minorHAnsi"/>
                <w:b/>
                <w:bCs/>
              </w:rPr>
              <w:t xml:space="preserve">child-friendly interviewing practices by professionally trained police. </w:t>
            </w:r>
          </w:p>
          <w:p w14:paraId="59AA4A44" w14:textId="77777777" w:rsidR="00BE2FAE" w:rsidRPr="001032A9" w:rsidRDefault="00BE2FAE" w:rsidP="00BE2FAE">
            <w:pPr>
              <w:rPr>
                <w:rFonts w:cstheme="minorHAnsi"/>
              </w:rPr>
            </w:pPr>
          </w:p>
        </w:tc>
        <w:tc>
          <w:tcPr>
            <w:tcW w:w="1701" w:type="dxa"/>
          </w:tcPr>
          <w:p w14:paraId="74EFE905" w14:textId="723793D7" w:rsidR="00BE2FAE" w:rsidRPr="001032A9" w:rsidRDefault="001A7CB7" w:rsidP="00BE2FAE">
            <w:pPr>
              <w:rPr>
                <w:rFonts w:cstheme="minorHAnsi"/>
                <w:bCs/>
                <w:color w:val="000000" w:themeColor="text1"/>
                <w:lang w:val="en-GB"/>
              </w:rPr>
            </w:pPr>
            <w:r>
              <w:rPr>
                <w:rFonts w:cstheme="minorHAnsi"/>
                <w:bCs/>
                <w:color w:val="000000" w:themeColor="text1"/>
                <w:lang w:val="en-GB"/>
              </w:rPr>
              <w:t>Partially</w:t>
            </w:r>
          </w:p>
        </w:tc>
        <w:tc>
          <w:tcPr>
            <w:tcW w:w="6520" w:type="dxa"/>
          </w:tcPr>
          <w:p w14:paraId="70E74F75" w14:textId="77777777" w:rsidR="00BE2FAE" w:rsidRPr="00BE2FAE" w:rsidRDefault="00BE2FAE" w:rsidP="00BE2FAE">
            <w:pPr>
              <w:rPr>
                <w:rFonts w:cstheme="minorHAnsi"/>
                <w:lang w:val="en-GB"/>
              </w:rPr>
            </w:pPr>
            <w:r w:rsidRPr="00BE2FAE">
              <w:rPr>
                <w:rFonts w:cstheme="minorHAnsi"/>
                <w:lang w:val="en-GB"/>
              </w:rPr>
              <w:t xml:space="preserve">Section 96(a) of the Child Right Law 2019 refers to appropriate procedure to collect testimonies from child victims or child witnesses. However, it does not mention specifically if this would apply to both national and non-national victims. </w:t>
            </w:r>
          </w:p>
          <w:p w14:paraId="74E022FA" w14:textId="77777777" w:rsidR="00BE2FAE" w:rsidRPr="00BE2FAE" w:rsidRDefault="00BE2FAE" w:rsidP="00BE2FAE">
            <w:pPr>
              <w:rPr>
                <w:rFonts w:cstheme="minorHAnsi"/>
                <w:lang w:val="en-GB"/>
              </w:rPr>
            </w:pPr>
          </w:p>
          <w:p w14:paraId="55AACB2D" w14:textId="77777777" w:rsidR="00BE2FAE" w:rsidRPr="00BE2FAE" w:rsidRDefault="00BE2FAE" w:rsidP="00BE2FAE">
            <w:pPr>
              <w:jc w:val="both"/>
              <w:rPr>
                <w:rFonts w:cstheme="minorHAnsi"/>
              </w:rPr>
            </w:pPr>
            <w:r w:rsidRPr="00BE2FAE">
              <w:rPr>
                <w:rFonts w:cstheme="minorHAnsi"/>
                <w:lang w:val="en-GB"/>
              </w:rPr>
              <w:t>According to Section 11(a) of the Anti-Trafficking in Persons Act, “</w:t>
            </w:r>
            <w:r w:rsidRPr="00BE2FAE">
              <w:rPr>
                <w:rFonts w:cstheme="minorHAnsi"/>
              </w:rPr>
              <w:t xml:space="preserve">if the trafficked victims are women, children and youth, the relevant Court shall, in conducting the trial of offences of trafficking in persons, - 10 - do so not in open Court, but in camera for the preservation of their dignity, physical and mental security”. </w:t>
            </w:r>
          </w:p>
          <w:p w14:paraId="18C9D0DE" w14:textId="5426D5DD" w:rsidR="00BE2FAE" w:rsidRPr="001032A9" w:rsidRDefault="00BE2FAE" w:rsidP="00BE2FAE">
            <w:pPr>
              <w:rPr>
                <w:rFonts w:cstheme="minorHAnsi"/>
                <w:lang w:val="en-GB"/>
              </w:rPr>
            </w:pPr>
          </w:p>
        </w:tc>
      </w:tr>
      <w:tr w:rsidR="00BE2FAE" w:rsidRPr="001032A9" w14:paraId="3E1CDB0C" w14:textId="77777777" w:rsidTr="00A21390">
        <w:trPr>
          <w:trHeight w:val="557"/>
        </w:trPr>
        <w:tc>
          <w:tcPr>
            <w:tcW w:w="425" w:type="dxa"/>
          </w:tcPr>
          <w:p w14:paraId="76BDB593" w14:textId="77777777" w:rsidR="00BE2FAE" w:rsidRPr="001032A9" w:rsidRDefault="00BE2FAE" w:rsidP="00BE2FAE">
            <w:pPr>
              <w:pStyle w:val="Paragrafoelenco"/>
              <w:numPr>
                <w:ilvl w:val="0"/>
                <w:numId w:val="2"/>
              </w:numPr>
              <w:spacing w:line="240" w:lineRule="auto"/>
              <w:rPr>
                <w:rFonts w:asciiTheme="minorHAnsi" w:hAnsiTheme="minorHAnsi" w:cstheme="minorHAnsi"/>
                <w:lang w:val="en-GB"/>
              </w:rPr>
            </w:pPr>
          </w:p>
        </w:tc>
        <w:tc>
          <w:tcPr>
            <w:tcW w:w="5529" w:type="dxa"/>
          </w:tcPr>
          <w:p w14:paraId="66EBAFA7" w14:textId="77777777" w:rsidR="00BE2FAE" w:rsidRPr="001032A9" w:rsidRDefault="00BE2FAE" w:rsidP="00BE2FAE">
            <w:pPr>
              <w:rPr>
                <w:rFonts w:cstheme="minorHAnsi"/>
              </w:rPr>
            </w:pPr>
            <w:r w:rsidRPr="001032A9">
              <w:rPr>
                <w:rFonts w:eastAsia="Calibri" w:cstheme="minorHAnsi"/>
              </w:rPr>
              <w:t xml:space="preserve">Ensure that national legislation provides the </w:t>
            </w:r>
            <w:r w:rsidRPr="001032A9">
              <w:rPr>
                <w:rFonts w:eastAsia="Calibri" w:cstheme="minorHAnsi"/>
                <w:b/>
              </w:rPr>
              <w:t>right for child victims to receive support in their recovery and rehabilitation</w:t>
            </w:r>
            <w:r w:rsidRPr="001032A9">
              <w:rPr>
                <w:rFonts w:eastAsia="Calibri" w:cstheme="minorHAnsi"/>
              </w:rPr>
              <w:t>, including accessing re-integration services.</w:t>
            </w:r>
          </w:p>
        </w:tc>
        <w:tc>
          <w:tcPr>
            <w:tcW w:w="1701" w:type="dxa"/>
          </w:tcPr>
          <w:p w14:paraId="7ABE7F31" w14:textId="11B97516" w:rsidR="00BE2FAE" w:rsidRPr="001032A9" w:rsidRDefault="00BE2FAE" w:rsidP="00BE2FAE">
            <w:pPr>
              <w:rPr>
                <w:rFonts w:cstheme="minorHAnsi"/>
                <w:bCs/>
                <w:color w:val="000000" w:themeColor="text1"/>
                <w:lang w:val="en-GB"/>
              </w:rPr>
            </w:pPr>
            <w:r w:rsidRPr="001032A9">
              <w:rPr>
                <w:rFonts w:cstheme="minorHAnsi"/>
                <w:bCs/>
                <w:color w:val="000000" w:themeColor="text1"/>
                <w:lang w:val="en-GB"/>
              </w:rPr>
              <w:t>Partially</w:t>
            </w:r>
          </w:p>
        </w:tc>
        <w:tc>
          <w:tcPr>
            <w:tcW w:w="6520" w:type="dxa"/>
          </w:tcPr>
          <w:p w14:paraId="1467155F" w14:textId="77777777" w:rsidR="00BE2FAE" w:rsidRPr="00BE2FAE" w:rsidRDefault="00BE2FAE" w:rsidP="00BE2FAE">
            <w:pPr>
              <w:rPr>
                <w:rFonts w:eastAsia="Times New Roman" w:cstheme="minorHAnsi"/>
                <w:lang w:val="en-GB"/>
              </w:rPr>
            </w:pPr>
            <w:r w:rsidRPr="00BE2FAE">
              <w:rPr>
                <w:rFonts w:eastAsia="Times New Roman" w:cstheme="minorHAnsi"/>
                <w:lang w:val="en-GB"/>
              </w:rPr>
              <w:t xml:space="preserve">The Department of Social Welfare </w:t>
            </w:r>
            <w:proofErr w:type="gramStart"/>
            <w:r w:rsidRPr="00BE2FAE">
              <w:rPr>
                <w:rFonts w:eastAsia="Times New Roman" w:cstheme="minorHAnsi"/>
                <w:lang w:val="en-GB"/>
              </w:rPr>
              <w:t>provides assistance to</w:t>
            </w:r>
            <w:proofErr w:type="gramEnd"/>
            <w:r w:rsidRPr="00BE2FAE">
              <w:rPr>
                <w:rFonts w:eastAsia="Times New Roman" w:cstheme="minorHAnsi"/>
                <w:lang w:val="en-GB"/>
              </w:rPr>
              <w:t xml:space="preserve"> child victims of trafficking for sexual purposes through its shelter homes. </w:t>
            </w:r>
          </w:p>
          <w:p w14:paraId="51ABAB10" w14:textId="77777777" w:rsidR="00BE2FAE" w:rsidRPr="00BE2FAE" w:rsidRDefault="00BE2FAE" w:rsidP="00BE2FAE">
            <w:pPr>
              <w:rPr>
                <w:rFonts w:eastAsia="Times New Roman" w:cstheme="minorHAnsi"/>
                <w:lang w:val="en-GB"/>
              </w:rPr>
            </w:pPr>
            <w:r w:rsidRPr="00BE2FAE">
              <w:rPr>
                <w:rFonts w:eastAsia="Times New Roman" w:cstheme="minorHAnsi"/>
                <w:lang w:val="en-GB"/>
              </w:rPr>
              <w:t>Section 97 of Child Right Law 2019 provides that the Ministry of Social Welfare, Relief and Resettlement must arrange for restoration and rehabilitation of physically and mentally injured child victims.</w:t>
            </w:r>
          </w:p>
          <w:p w14:paraId="41CE5E94" w14:textId="77777777" w:rsidR="00BE2FAE" w:rsidRPr="00BE2FAE" w:rsidRDefault="00BE2FAE" w:rsidP="00BE2FAE">
            <w:pPr>
              <w:rPr>
                <w:rFonts w:eastAsia="Times New Roman" w:cstheme="minorHAnsi"/>
                <w:lang w:val="en-GB"/>
              </w:rPr>
            </w:pPr>
          </w:p>
          <w:p w14:paraId="54CFAC96" w14:textId="250F1E79" w:rsidR="00BE2FAE" w:rsidRPr="001032A9" w:rsidRDefault="00BE2FAE" w:rsidP="00BE2FAE">
            <w:pPr>
              <w:rPr>
                <w:rFonts w:cstheme="minorHAnsi"/>
                <w:lang w:val="en-GB"/>
              </w:rPr>
            </w:pPr>
            <w:r w:rsidRPr="00BE2FAE">
              <w:rPr>
                <w:rFonts w:eastAsia="Times New Roman" w:cstheme="minorHAnsi"/>
                <w:lang w:val="en-GB"/>
              </w:rPr>
              <w:t xml:space="preserve">Chapter VII (Sections 19-21) of the Anti-Trafficking in Persons Act deals with repatriation, </w:t>
            </w:r>
            <w:proofErr w:type="gramStart"/>
            <w:r w:rsidRPr="00BE2FAE">
              <w:rPr>
                <w:rFonts w:eastAsia="Times New Roman" w:cstheme="minorHAnsi"/>
                <w:lang w:val="en-GB"/>
              </w:rPr>
              <w:t>reintegration</w:t>
            </w:r>
            <w:proofErr w:type="gramEnd"/>
            <w:r w:rsidRPr="00BE2FAE">
              <w:rPr>
                <w:rFonts w:eastAsia="Times New Roman" w:cstheme="minorHAnsi"/>
                <w:lang w:val="en-GB"/>
              </w:rPr>
              <w:t xml:space="preserve"> and rehabilitation.</w:t>
            </w:r>
          </w:p>
        </w:tc>
      </w:tr>
      <w:tr w:rsidR="00BE2FAE" w:rsidRPr="001032A9" w14:paraId="0B5C2495" w14:textId="77777777" w:rsidTr="00A21390">
        <w:trPr>
          <w:trHeight w:val="557"/>
        </w:trPr>
        <w:tc>
          <w:tcPr>
            <w:tcW w:w="425" w:type="dxa"/>
          </w:tcPr>
          <w:p w14:paraId="740C2C0E" w14:textId="77777777" w:rsidR="00BE2FAE" w:rsidRPr="001032A9" w:rsidRDefault="00BE2FAE" w:rsidP="00BE2FAE">
            <w:pPr>
              <w:pStyle w:val="Paragrafoelenco"/>
              <w:numPr>
                <w:ilvl w:val="0"/>
                <w:numId w:val="2"/>
              </w:numPr>
              <w:spacing w:line="240" w:lineRule="auto"/>
              <w:rPr>
                <w:rFonts w:asciiTheme="minorHAnsi" w:hAnsiTheme="minorHAnsi" w:cstheme="minorHAnsi"/>
                <w:lang w:val="en-GB"/>
              </w:rPr>
            </w:pPr>
          </w:p>
        </w:tc>
        <w:tc>
          <w:tcPr>
            <w:tcW w:w="5529" w:type="dxa"/>
          </w:tcPr>
          <w:p w14:paraId="120306FB" w14:textId="77777777" w:rsidR="00BE2FAE" w:rsidRPr="001032A9" w:rsidRDefault="00BE2FAE" w:rsidP="00BE2FAE">
            <w:pPr>
              <w:tabs>
                <w:tab w:val="left" w:pos="1470"/>
              </w:tabs>
              <w:rPr>
                <w:rFonts w:cstheme="minorHAnsi"/>
              </w:rPr>
            </w:pPr>
            <w:r w:rsidRPr="001032A9">
              <w:rPr>
                <w:rFonts w:eastAsia="Calibri" w:cstheme="minorHAnsi"/>
              </w:rPr>
              <w:t xml:space="preserve">Establish a </w:t>
            </w:r>
            <w:r w:rsidRPr="001032A9">
              <w:rPr>
                <w:rFonts w:eastAsia="Calibri" w:cstheme="minorHAnsi"/>
                <w:b/>
              </w:rPr>
              <w:t>national reporting mechanism (</w:t>
            </w:r>
            <w:proofErr w:type="gramStart"/>
            <w:r w:rsidRPr="001032A9">
              <w:rPr>
                <w:rFonts w:eastAsia="Calibri" w:cstheme="minorHAnsi"/>
                <w:b/>
              </w:rPr>
              <w:t>e.g.</w:t>
            </w:r>
            <w:proofErr w:type="gramEnd"/>
            <w:r w:rsidRPr="001032A9">
              <w:rPr>
                <w:rFonts w:eastAsia="Calibri" w:cstheme="minorHAnsi"/>
                <w:b/>
              </w:rPr>
              <w:t xml:space="preserve"> hotline)</w:t>
            </w:r>
            <w:r w:rsidRPr="001032A9">
              <w:rPr>
                <w:rFonts w:eastAsia="Calibri" w:cstheme="minorHAnsi"/>
              </w:rPr>
              <w:t xml:space="preserve"> that coordinates access to services, and helps to overcome reluctance to report sexual exploitation of children.</w:t>
            </w:r>
          </w:p>
        </w:tc>
        <w:tc>
          <w:tcPr>
            <w:tcW w:w="1701" w:type="dxa"/>
          </w:tcPr>
          <w:p w14:paraId="192F8242" w14:textId="3683CD2F" w:rsidR="00BE2FAE" w:rsidRPr="001032A9" w:rsidRDefault="00BE2FAE" w:rsidP="00BE2FAE">
            <w:pPr>
              <w:rPr>
                <w:rFonts w:cstheme="minorHAnsi"/>
                <w:bCs/>
                <w:color w:val="000000" w:themeColor="text1"/>
                <w:lang w:val="en-GB"/>
              </w:rPr>
            </w:pPr>
            <w:r>
              <w:rPr>
                <w:rFonts w:cstheme="minorHAnsi"/>
                <w:bCs/>
                <w:color w:val="000000" w:themeColor="text1"/>
                <w:lang w:val="en-GB"/>
              </w:rPr>
              <w:t>No</w:t>
            </w:r>
          </w:p>
        </w:tc>
        <w:tc>
          <w:tcPr>
            <w:tcW w:w="6520" w:type="dxa"/>
          </w:tcPr>
          <w:p w14:paraId="4610BE2A" w14:textId="6CBEEE01" w:rsidR="00BE2FAE" w:rsidRPr="001032A9" w:rsidRDefault="00BE2FAE" w:rsidP="00BE2FAE">
            <w:pPr>
              <w:rPr>
                <w:rFonts w:cstheme="minorHAnsi"/>
                <w:lang w:val="en-GB"/>
              </w:rPr>
            </w:pPr>
            <w:r w:rsidRPr="00BE2FAE">
              <w:rPr>
                <w:rFonts w:eastAsia="Times New Roman" w:cstheme="minorHAnsi"/>
                <w:lang w:val="en-GB"/>
              </w:rPr>
              <w:t>There is no child helpline in Myanmar</w:t>
            </w:r>
          </w:p>
        </w:tc>
      </w:tr>
      <w:tr w:rsidR="00BE2FAE" w:rsidRPr="001032A9" w14:paraId="1A965A29" w14:textId="77777777" w:rsidTr="00A21390">
        <w:trPr>
          <w:trHeight w:val="557"/>
        </w:trPr>
        <w:tc>
          <w:tcPr>
            <w:tcW w:w="425" w:type="dxa"/>
          </w:tcPr>
          <w:p w14:paraId="68F41B01" w14:textId="77777777" w:rsidR="00BE2FAE" w:rsidRPr="001032A9" w:rsidRDefault="00BE2FAE" w:rsidP="00BE2FAE">
            <w:pPr>
              <w:pStyle w:val="Paragrafoelenco"/>
              <w:numPr>
                <w:ilvl w:val="0"/>
                <w:numId w:val="2"/>
              </w:numPr>
              <w:spacing w:line="240" w:lineRule="auto"/>
              <w:rPr>
                <w:rFonts w:asciiTheme="minorHAnsi" w:hAnsiTheme="minorHAnsi" w:cstheme="minorHAnsi"/>
                <w:lang w:val="en-GB"/>
              </w:rPr>
            </w:pPr>
          </w:p>
        </w:tc>
        <w:tc>
          <w:tcPr>
            <w:tcW w:w="5529" w:type="dxa"/>
          </w:tcPr>
          <w:p w14:paraId="77BCDC03" w14:textId="77777777" w:rsidR="00BE2FAE" w:rsidRPr="001032A9" w:rsidRDefault="00BE2FAE" w:rsidP="00BE2FAE">
            <w:pPr>
              <w:rPr>
                <w:rFonts w:cstheme="minorHAnsi"/>
              </w:rPr>
            </w:pPr>
            <w:r w:rsidRPr="001032A9">
              <w:rPr>
                <w:rFonts w:eastAsia="Calibri" w:cstheme="minorHAnsi"/>
              </w:rPr>
              <w:t xml:space="preserve">Create </w:t>
            </w:r>
            <w:r w:rsidRPr="001032A9">
              <w:rPr>
                <w:rFonts w:eastAsia="Calibri" w:cstheme="minorHAnsi"/>
                <w:b/>
              </w:rPr>
              <w:t xml:space="preserve">data retention and </w:t>
            </w:r>
            <w:r w:rsidRPr="001032A9">
              <w:rPr>
                <w:rFonts w:eastAsia="Calibri" w:cstheme="minorHAnsi"/>
              </w:rPr>
              <w:t xml:space="preserve">preservation laws, </w:t>
            </w:r>
            <w:proofErr w:type="gramStart"/>
            <w:r w:rsidRPr="001032A9">
              <w:rPr>
                <w:rFonts w:eastAsia="Calibri" w:cstheme="minorHAnsi"/>
              </w:rPr>
              <w:t>regulations</w:t>
            </w:r>
            <w:proofErr w:type="gramEnd"/>
            <w:r w:rsidRPr="001032A9">
              <w:rPr>
                <w:rFonts w:eastAsia="Calibri" w:cstheme="minorHAnsi"/>
              </w:rPr>
              <w:t xml:space="preserve"> and procedures, to ensure the retention and preservation of digital evidence and enable cooperation with law enforcement which applies to ISPs, mobile phone companies, digital social media and communication companies, cloud storage companies, based in/operating in national jurisdiction.</w:t>
            </w:r>
          </w:p>
        </w:tc>
        <w:tc>
          <w:tcPr>
            <w:tcW w:w="1701" w:type="dxa"/>
          </w:tcPr>
          <w:p w14:paraId="23515973" w14:textId="3058B08F" w:rsidR="00BE2FAE" w:rsidRPr="001032A9" w:rsidRDefault="00BE2FAE" w:rsidP="00BE2FAE">
            <w:pPr>
              <w:rPr>
                <w:rFonts w:cstheme="minorHAnsi"/>
                <w:bCs/>
                <w:color w:val="000000" w:themeColor="text1"/>
                <w:lang w:val="en-GB"/>
              </w:rPr>
            </w:pPr>
            <w:r>
              <w:rPr>
                <w:rFonts w:cstheme="minorHAnsi"/>
                <w:bCs/>
                <w:color w:val="000000" w:themeColor="text1"/>
                <w:lang w:val="en-GB"/>
              </w:rPr>
              <w:t>?</w:t>
            </w:r>
          </w:p>
        </w:tc>
        <w:tc>
          <w:tcPr>
            <w:tcW w:w="6520" w:type="dxa"/>
          </w:tcPr>
          <w:p w14:paraId="02E15C16" w14:textId="614DF04E" w:rsidR="00BE2FAE" w:rsidRPr="001032A9" w:rsidRDefault="00BE2FAE" w:rsidP="00BE2FAE">
            <w:pPr>
              <w:rPr>
                <w:rFonts w:cstheme="minorHAnsi"/>
                <w:lang w:val="en-GB"/>
              </w:rPr>
            </w:pPr>
            <w:r w:rsidRPr="00BE2FAE">
              <w:rPr>
                <w:rFonts w:eastAsia="Times New Roman" w:cstheme="minorHAnsi"/>
                <w:lang w:val="en-GB"/>
              </w:rPr>
              <w:t>There do not appear to be any provisions on data retention and preservation around cases of sexual exploitation of children.</w:t>
            </w:r>
          </w:p>
        </w:tc>
      </w:tr>
      <w:tr w:rsidR="00BE2FAE" w:rsidRPr="001032A9" w14:paraId="7EEE3949" w14:textId="77777777" w:rsidTr="00A21390">
        <w:trPr>
          <w:trHeight w:val="720"/>
        </w:trPr>
        <w:tc>
          <w:tcPr>
            <w:tcW w:w="425" w:type="dxa"/>
          </w:tcPr>
          <w:p w14:paraId="150DAA25" w14:textId="77777777" w:rsidR="00BE2FAE" w:rsidRPr="001032A9" w:rsidRDefault="00BE2FAE" w:rsidP="00BE2FAE">
            <w:pPr>
              <w:pStyle w:val="Paragrafoelenco"/>
              <w:numPr>
                <w:ilvl w:val="0"/>
                <w:numId w:val="2"/>
              </w:numPr>
              <w:spacing w:line="240" w:lineRule="auto"/>
              <w:rPr>
                <w:rFonts w:asciiTheme="minorHAnsi" w:hAnsiTheme="minorHAnsi" w:cstheme="minorHAnsi"/>
                <w:lang w:val="en-GB"/>
              </w:rPr>
            </w:pPr>
          </w:p>
        </w:tc>
        <w:tc>
          <w:tcPr>
            <w:tcW w:w="5529" w:type="dxa"/>
          </w:tcPr>
          <w:p w14:paraId="4845105A" w14:textId="77777777" w:rsidR="00BE2FAE" w:rsidRPr="001032A9" w:rsidRDefault="00BE2FAE" w:rsidP="00BE2FAE">
            <w:pPr>
              <w:rPr>
                <w:rFonts w:cstheme="minorHAnsi"/>
                <w:lang w:val="en-GB"/>
              </w:rPr>
            </w:pPr>
            <w:r w:rsidRPr="001032A9">
              <w:rPr>
                <w:rFonts w:eastAsia="Calibri" w:cstheme="minorHAnsi"/>
              </w:rPr>
              <w:t xml:space="preserve">Ensure that national legislation provides the </w:t>
            </w:r>
            <w:r w:rsidRPr="001032A9">
              <w:rPr>
                <w:rFonts w:eastAsia="Calibri" w:cstheme="minorHAnsi"/>
                <w:b/>
              </w:rPr>
              <w:t>right for all child victims of sexual exploitation to seek compensation</w:t>
            </w:r>
            <w:r w:rsidRPr="001032A9">
              <w:rPr>
                <w:rFonts w:eastAsia="Calibri" w:cstheme="minorHAnsi"/>
              </w:rPr>
              <w:t xml:space="preserve"> in national courts from convicted perpetrators who harmed them and/or through state-managed funds.</w:t>
            </w:r>
            <w:r w:rsidRPr="001032A9">
              <w:rPr>
                <w:rFonts w:cstheme="minorHAnsi"/>
                <w:lang w:val="en-GB"/>
              </w:rPr>
              <w:t xml:space="preserve"> </w:t>
            </w:r>
          </w:p>
        </w:tc>
        <w:tc>
          <w:tcPr>
            <w:tcW w:w="1701" w:type="dxa"/>
          </w:tcPr>
          <w:p w14:paraId="1C912E67" w14:textId="3FD9D4D4" w:rsidR="00BE2FAE" w:rsidRPr="001032A9" w:rsidRDefault="00BE2FAE" w:rsidP="00BE2FAE">
            <w:pPr>
              <w:rPr>
                <w:rFonts w:cstheme="minorHAnsi"/>
                <w:bCs/>
                <w:color w:val="000000" w:themeColor="text1"/>
                <w:lang w:val="en-GB"/>
              </w:rPr>
            </w:pPr>
            <w:r w:rsidRPr="001032A9">
              <w:rPr>
                <w:rFonts w:cstheme="minorHAnsi"/>
                <w:bCs/>
                <w:color w:val="000000" w:themeColor="text1"/>
                <w:lang w:val="en-GB"/>
              </w:rPr>
              <w:t xml:space="preserve"> </w:t>
            </w:r>
            <w:r w:rsidR="00AB38C3">
              <w:rPr>
                <w:rFonts w:cstheme="minorHAnsi"/>
                <w:bCs/>
                <w:color w:val="000000" w:themeColor="text1"/>
                <w:lang w:val="en-GB"/>
              </w:rPr>
              <w:t>Yes</w:t>
            </w:r>
          </w:p>
        </w:tc>
        <w:tc>
          <w:tcPr>
            <w:tcW w:w="6520" w:type="dxa"/>
          </w:tcPr>
          <w:p w14:paraId="30CDA4C9" w14:textId="77777777" w:rsidR="00BE2FAE" w:rsidRPr="00BE2FAE" w:rsidRDefault="00BE2FAE" w:rsidP="00BE2FAE">
            <w:pPr>
              <w:rPr>
                <w:rFonts w:cstheme="minorHAnsi"/>
                <w:lang w:val="en-GB"/>
              </w:rPr>
            </w:pPr>
            <w:r w:rsidRPr="00BE2FAE">
              <w:rPr>
                <w:rFonts w:cstheme="minorHAnsi"/>
                <w:lang w:val="en-GB"/>
              </w:rPr>
              <w:t>Articles 545 and 546 of the Code of Criminal Procedure.</w:t>
            </w:r>
          </w:p>
          <w:p w14:paraId="5C376EA9" w14:textId="77777777" w:rsidR="00BE2FAE" w:rsidRPr="00BE2FAE" w:rsidRDefault="00BE2FAE" w:rsidP="00BE2FAE">
            <w:pPr>
              <w:rPr>
                <w:rFonts w:cstheme="minorHAnsi"/>
                <w:lang w:val="en-GB"/>
              </w:rPr>
            </w:pPr>
            <w:r w:rsidRPr="00BE2FAE">
              <w:rPr>
                <w:rFonts w:cstheme="minorHAnsi"/>
                <w:lang w:val="en-GB"/>
              </w:rPr>
              <w:t>According to Section 109 of the Child Right Law 2019, the court may, for the purpose of justice, render the judgement to pay compensation to the child victims by the convicted person.</w:t>
            </w:r>
          </w:p>
          <w:p w14:paraId="559D39B6" w14:textId="77777777" w:rsidR="00BE2FAE" w:rsidRPr="00BE2FAE" w:rsidRDefault="00BE2FAE" w:rsidP="00BE2FAE">
            <w:pPr>
              <w:rPr>
                <w:rFonts w:cstheme="minorHAnsi"/>
                <w:lang w:val="en-GB"/>
              </w:rPr>
            </w:pPr>
          </w:p>
          <w:p w14:paraId="0BBBDFAD" w14:textId="77777777" w:rsidR="00BE2FAE" w:rsidRPr="00BE2FAE" w:rsidRDefault="00BE2FAE" w:rsidP="00BE2FAE">
            <w:pPr>
              <w:rPr>
                <w:rFonts w:cstheme="minorHAnsi"/>
                <w:lang w:val="en-GB"/>
              </w:rPr>
            </w:pPr>
            <w:r w:rsidRPr="00BE2FAE">
              <w:rPr>
                <w:rFonts w:cstheme="minorHAnsi"/>
                <w:lang w:val="en-GB"/>
              </w:rPr>
              <w:lastRenderedPageBreak/>
              <w:t>Section 33 of the Anti-Trafficking in Persons Law permits the courts to pass an order for damages to be paid to the trafficked victim from the money confiscated or from the proceeds of sale of property or from the fine.</w:t>
            </w:r>
          </w:p>
          <w:p w14:paraId="5455E991" w14:textId="41809A2F" w:rsidR="00BE2FAE" w:rsidRPr="001032A9" w:rsidRDefault="00BE2FAE" w:rsidP="00BE2FAE">
            <w:pPr>
              <w:rPr>
                <w:rFonts w:cstheme="minorHAnsi"/>
                <w:lang w:val="en-GB"/>
              </w:rPr>
            </w:pPr>
            <w:r w:rsidRPr="00BE2FAE">
              <w:rPr>
                <w:rFonts w:cstheme="minorHAnsi"/>
                <w:lang w:val="en-GB"/>
              </w:rPr>
              <w:t xml:space="preserve">The Anti-Trafficking in Persons Law also establishes a special fund “for the purpose of utilizing for the suppression of trafficking in persons, </w:t>
            </w:r>
            <w:proofErr w:type="gramStart"/>
            <w:r w:rsidRPr="00BE2FAE">
              <w:rPr>
                <w:rFonts w:cstheme="minorHAnsi"/>
                <w:lang w:val="en-GB"/>
              </w:rPr>
              <w:t>repatriation</w:t>
            </w:r>
            <w:proofErr w:type="gramEnd"/>
            <w:r w:rsidRPr="00BE2FAE">
              <w:rPr>
                <w:rFonts w:cstheme="minorHAnsi"/>
                <w:lang w:val="en-GB"/>
              </w:rPr>
              <w:t xml:space="preserve"> and rehabilitation of trafficked victims. (Section 22).</w:t>
            </w:r>
          </w:p>
        </w:tc>
      </w:tr>
    </w:tbl>
    <w:p w14:paraId="4BFD2D14" w14:textId="77777777" w:rsidR="008C63F0" w:rsidRPr="001032A9" w:rsidRDefault="008C63F0" w:rsidP="008C63F0">
      <w:pPr>
        <w:rPr>
          <w:rFonts w:cstheme="minorHAnsi"/>
          <w:color w:val="136B41"/>
          <w:u w:val="single"/>
          <w:lang w:val="en-GB"/>
        </w:rPr>
      </w:pPr>
    </w:p>
    <w:p w14:paraId="58107C89" w14:textId="77777777" w:rsidR="001032A9" w:rsidRPr="001032A9" w:rsidRDefault="001032A9" w:rsidP="001032A9">
      <w:pPr>
        <w:rPr>
          <w:rFonts w:cstheme="minorHAnsi"/>
          <w:b/>
          <w:color w:val="136B41"/>
          <w:u w:val="single"/>
          <w:lang w:val="en-GB"/>
        </w:rPr>
      </w:pPr>
      <w:r w:rsidRPr="001032A9">
        <w:rPr>
          <w:rFonts w:cstheme="minorHAnsi"/>
          <w:b/>
          <w:color w:val="136B41"/>
          <w:u w:val="single"/>
          <w:lang w:val="en-GB"/>
        </w:rPr>
        <w:t>Legal Sources:</w:t>
      </w:r>
    </w:p>
    <w:p w14:paraId="42D69A59" w14:textId="77777777" w:rsidR="00AC2440" w:rsidRDefault="00000000" w:rsidP="00AC2440">
      <w:pPr>
        <w:rPr>
          <w:rFonts w:asciiTheme="majorHAnsi" w:hAnsiTheme="majorHAnsi" w:cstheme="majorHAnsi"/>
          <w:lang w:val="en-GB"/>
        </w:rPr>
      </w:pPr>
      <w:hyperlink r:id="rId13" w:history="1">
        <w:r w:rsidR="00AC2440" w:rsidRPr="00E576D9">
          <w:rPr>
            <w:rStyle w:val="Collegamentoipertestuale"/>
            <w:rFonts w:asciiTheme="majorHAnsi" w:hAnsiTheme="majorHAnsi" w:cstheme="majorHAnsi"/>
            <w:lang w:val="en-GB"/>
          </w:rPr>
          <w:t>Anti-Trafficking in Persons Law</w:t>
        </w:r>
      </w:hyperlink>
      <w:r w:rsidR="00AC2440">
        <w:rPr>
          <w:rFonts w:asciiTheme="majorHAnsi" w:hAnsiTheme="majorHAnsi" w:cstheme="majorHAnsi"/>
          <w:lang w:val="en-GB"/>
        </w:rPr>
        <w:t>, 2005</w:t>
      </w:r>
    </w:p>
    <w:p w14:paraId="3DEC15A9" w14:textId="77777777" w:rsidR="00AC2440" w:rsidRDefault="00000000" w:rsidP="00AC2440">
      <w:pPr>
        <w:rPr>
          <w:rFonts w:asciiTheme="majorHAnsi" w:hAnsiTheme="majorHAnsi" w:cstheme="majorHAnsi"/>
          <w:lang w:val="en-GB"/>
        </w:rPr>
      </w:pPr>
      <w:hyperlink r:id="rId14" w:history="1">
        <w:r w:rsidR="00AC2440" w:rsidRPr="00E576D9">
          <w:rPr>
            <w:rStyle w:val="Collegamentoipertestuale"/>
            <w:rFonts w:asciiTheme="majorHAnsi" w:hAnsiTheme="majorHAnsi" w:cstheme="majorHAnsi"/>
            <w:lang w:val="en-GB"/>
          </w:rPr>
          <w:t>Child Rights Law, 2019</w:t>
        </w:r>
      </w:hyperlink>
    </w:p>
    <w:p w14:paraId="2507B941" w14:textId="77777777" w:rsidR="00AC2440" w:rsidRDefault="00000000" w:rsidP="00AC2440">
      <w:pPr>
        <w:rPr>
          <w:rFonts w:asciiTheme="majorHAnsi" w:hAnsiTheme="majorHAnsi" w:cstheme="majorHAnsi"/>
          <w:lang w:val="en-GB"/>
        </w:rPr>
      </w:pPr>
      <w:hyperlink r:id="rId15" w:history="1">
        <w:r w:rsidR="00AC2440" w:rsidRPr="00E576D9">
          <w:rPr>
            <w:rStyle w:val="Collegamentoipertestuale"/>
            <w:rFonts w:asciiTheme="majorHAnsi" w:hAnsiTheme="majorHAnsi" w:cstheme="majorHAnsi"/>
            <w:lang w:val="en-GB"/>
          </w:rPr>
          <w:t>Code of Criminal Procedure</w:t>
        </w:r>
      </w:hyperlink>
    </w:p>
    <w:p w14:paraId="345AC9AE" w14:textId="77777777" w:rsidR="00AC2440" w:rsidRDefault="00000000" w:rsidP="00AC2440">
      <w:pPr>
        <w:rPr>
          <w:rFonts w:asciiTheme="majorHAnsi" w:hAnsiTheme="majorHAnsi" w:cstheme="majorHAnsi"/>
          <w:lang w:val="en-GB"/>
        </w:rPr>
      </w:pPr>
      <w:hyperlink r:id="rId16" w:history="1">
        <w:r w:rsidR="00AC2440" w:rsidRPr="00E576D9">
          <w:rPr>
            <w:rStyle w:val="Collegamentoipertestuale"/>
            <w:rFonts w:asciiTheme="majorHAnsi" w:hAnsiTheme="majorHAnsi" w:cstheme="majorHAnsi"/>
            <w:lang w:val="en-GB"/>
          </w:rPr>
          <w:t>Extradition Act, 1904</w:t>
        </w:r>
      </w:hyperlink>
    </w:p>
    <w:p w14:paraId="19F7F49A" w14:textId="77777777" w:rsidR="00AC2440" w:rsidRDefault="00000000" w:rsidP="00AC2440">
      <w:pPr>
        <w:rPr>
          <w:rStyle w:val="Collegamentoipertestuale"/>
          <w:rFonts w:asciiTheme="majorHAnsi" w:hAnsiTheme="majorHAnsi" w:cstheme="majorHAnsi"/>
          <w:lang w:val="en-GB"/>
        </w:rPr>
      </w:pPr>
      <w:hyperlink r:id="rId17" w:history="1">
        <w:r w:rsidR="00AC2440" w:rsidRPr="00E576D9">
          <w:rPr>
            <w:rStyle w:val="Collegamentoipertestuale"/>
            <w:rFonts w:asciiTheme="majorHAnsi" w:hAnsiTheme="majorHAnsi" w:cstheme="majorHAnsi"/>
            <w:lang w:val="en-GB"/>
          </w:rPr>
          <w:t>Penal Code</w:t>
        </w:r>
      </w:hyperlink>
    </w:p>
    <w:p w14:paraId="2377C1D0" w14:textId="77777777" w:rsidR="008B4D46" w:rsidRPr="001032A9" w:rsidRDefault="008B4D46">
      <w:pPr>
        <w:rPr>
          <w:rFonts w:cstheme="minorHAnsi"/>
          <w:lang w:val="en-GB"/>
        </w:rPr>
      </w:pPr>
    </w:p>
    <w:sectPr w:rsidR="008B4D46" w:rsidRPr="001032A9" w:rsidSect="008C63F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7D6A" w14:textId="77777777" w:rsidR="00234A5D" w:rsidRDefault="00234A5D" w:rsidP="00680020">
      <w:pPr>
        <w:spacing w:after="0" w:line="240" w:lineRule="auto"/>
      </w:pPr>
      <w:r>
        <w:separator/>
      </w:r>
    </w:p>
  </w:endnote>
  <w:endnote w:type="continuationSeparator" w:id="0">
    <w:p w14:paraId="53211679" w14:textId="77777777" w:rsidR="00234A5D" w:rsidRDefault="00234A5D" w:rsidP="0068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C5B5" w14:textId="77777777" w:rsidR="00234A5D" w:rsidRDefault="00234A5D" w:rsidP="00680020">
      <w:pPr>
        <w:spacing w:after="0" w:line="240" w:lineRule="auto"/>
      </w:pPr>
      <w:r>
        <w:separator/>
      </w:r>
    </w:p>
  </w:footnote>
  <w:footnote w:type="continuationSeparator" w:id="0">
    <w:p w14:paraId="15671A22" w14:textId="77777777" w:rsidR="00234A5D" w:rsidRDefault="00234A5D" w:rsidP="00680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B37"/>
    <w:multiLevelType w:val="multilevel"/>
    <w:tmpl w:val="A84E3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65408F"/>
    <w:multiLevelType w:val="hybridMultilevel"/>
    <w:tmpl w:val="EF120DE6"/>
    <w:lvl w:ilvl="0" w:tplc="CA34DCB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3E882F96"/>
    <w:multiLevelType w:val="hybridMultilevel"/>
    <w:tmpl w:val="9334CBE2"/>
    <w:lvl w:ilvl="0" w:tplc="2D44E6FA">
      <w:start w:val="1"/>
      <w:numFmt w:val="bullet"/>
      <w:lvlText w:val=""/>
      <w:lvlJc w:val="left"/>
      <w:pPr>
        <w:ind w:left="288" w:firstLine="7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E6993"/>
    <w:multiLevelType w:val="multilevel"/>
    <w:tmpl w:val="D4B6F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575B50"/>
    <w:multiLevelType w:val="hybridMultilevel"/>
    <w:tmpl w:val="7F1AB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981D36"/>
    <w:multiLevelType w:val="hybridMultilevel"/>
    <w:tmpl w:val="70A00A38"/>
    <w:lvl w:ilvl="0" w:tplc="13920746">
      <w:start w:val="1"/>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78E24E27"/>
    <w:multiLevelType w:val="hybridMultilevel"/>
    <w:tmpl w:val="0D0AA560"/>
    <w:lvl w:ilvl="0" w:tplc="DFAC580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33E67"/>
    <w:multiLevelType w:val="hybridMultilevel"/>
    <w:tmpl w:val="BF3614A0"/>
    <w:lvl w:ilvl="0" w:tplc="CA40ADD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3007758">
    <w:abstractNumId w:val="2"/>
  </w:num>
  <w:num w:numId="2" w16cid:durableId="1904563551">
    <w:abstractNumId w:val="4"/>
  </w:num>
  <w:num w:numId="3" w16cid:durableId="1473987470">
    <w:abstractNumId w:val="1"/>
  </w:num>
  <w:num w:numId="4" w16cid:durableId="307712376">
    <w:abstractNumId w:val="5"/>
  </w:num>
  <w:num w:numId="5" w16cid:durableId="2052917139">
    <w:abstractNumId w:val="6"/>
  </w:num>
  <w:num w:numId="6" w16cid:durableId="316150815">
    <w:abstractNumId w:val="0"/>
  </w:num>
  <w:num w:numId="7" w16cid:durableId="411706988">
    <w:abstractNumId w:val="7"/>
  </w:num>
  <w:num w:numId="8" w16cid:durableId="1584417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E4"/>
    <w:rsid w:val="001032A9"/>
    <w:rsid w:val="001A2029"/>
    <w:rsid w:val="001A7CB7"/>
    <w:rsid w:val="00204C47"/>
    <w:rsid w:val="00205310"/>
    <w:rsid w:val="00210380"/>
    <w:rsid w:val="00234A5D"/>
    <w:rsid w:val="002E4A1F"/>
    <w:rsid w:val="004052DE"/>
    <w:rsid w:val="004E1FF9"/>
    <w:rsid w:val="005E1FE4"/>
    <w:rsid w:val="006411A5"/>
    <w:rsid w:val="00680020"/>
    <w:rsid w:val="0068194A"/>
    <w:rsid w:val="00840405"/>
    <w:rsid w:val="008669B7"/>
    <w:rsid w:val="00870A3E"/>
    <w:rsid w:val="008B4D46"/>
    <w:rsid w:val="008C63F0"/>
    <w:rsid w:val="008E2A95"/>
    <w:rsid w:val="00975F02"/>
    <w:rsid w:val="009950F8"/>
    <w:rsid w:val="009B33CD"/>
    <w:rsid w:val="009F256D"/>
    <w:rsid w:val="00A20A79"/>
    <w:rsid w:val="00A21390"/>
    <w:rsid w:val="00A42073"/>
    <w:rsid w:val="00A60801"/>
    <w:rsid w:val="00AA01B3"/>
    <w:rsid w:val="00AB38C3"/>
    <w:rsid w:val="00AC2440"/>
    <w:rsid w:val="00BC0529"/>
    <w:rsid w:val="00BE2918"/>
    <w:rsid w:val="00BE2FAE"/>
    <w:rsid w:val="00C14F91"/>
    <w:rsid w:val="00C1694D"/>
    <w:rsid w:val="00C2067D"/>
    <w:rsid w:val="00C27050"/>
    <w:rsid w:val="00C430C1"/>
    <w:rsid w:val="00C45719"/>
    <w:rsid w:val="00C90BF7"/>
    <w:rsid w:val="00D723F3"/>
    <w:rsid w:val="00DA1893"/>
    <w:rsid w:val="00DC5347"/>
    <w:rsid w:val="00DE1821"/>
    <w:rsid w:val="00DF78CF"/>
    <w:rsid w:val="00E07168"/>
    <w:rsid w:val="00E97227"/>
    <w:rsid w:val="00F93302"/>
    <w:rsid w:val="00F955BE"/>
    <w:rsid w:val="00FA4600"/>
    <w:rsid w:val="00FD1C61"/>
    <w:rsid w:val="00FE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82F"/>
  <w15:chartTrackingRefBased/>
  <w15:docId w15:val="{9EDC224C-43A1-4377-8FA6-7464FF26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qFormat/>
    <w:rsid w:val="008C63F0"/>
    <w:pPr>
      <w:pBdr>
        <w:top w:val="nil"/>
        <w:left w:val="nil"/>
        <w:bottom w:val="nil"/>
        <w:right w:val="nil"/>
        <w:between w:val="nil"/>
      </w:pBdr>
      <w:tabs>
        <w:tab w:val="center" w:pos="6979"/>
      </w:tabs>
      <w:spacing w:after="0" w:line="276" w:lineRule="auto"/>
      <w:jc w:val="center"/>
      <w:outlineLvl w:val="1"/>
    </w:pPr>
    <w:rPr>
      <w:rFonts w:asciiTheme="majorHAnsi" w:eastAsia="Arial" w:hAnsiTheme="majorHAnsi" w:cstheme="majorHAnsi"/>
      <w:b/>
      <w:noProof/>
      <w:color w:val="002060"/>
      <w:sz w:val="32"/>
      <w:szCs w:val="32"/>
      <w:lang w:val="en-GB" w:bidi="th-TH"/>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C63F0"/>
    <w:rPr>
      <w:rFonts w:asciiTheme="majorHAnsi" w:eastAsia="Arial" w:hAnsiTheme="majorHAnsi" w:cstheme="majorHAnsi"/>
      <w:b/>
      <w:noProof/>
      <w:color w:val="002060"/>
      <w:sz w:val="32"/>
      <w:szCs w:val="32"/>
      <w:lang w:val="en-GB" w:bidi="th-TH"/>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34"/>
    <w:qFormat/>
    <w:rsid w:val="008C63F0"/>
    <w:pPr>
      <w:pBdr>
        <w:top w:val="nil"/>
        <w:left w:val="nil"/>
        <w:bottom w:val="nil"/>
        <w:right w:val="nil"/>
        <w:between w:val="nil"/>
      </w:pBdr>
      <w:spacing w:after="0" w:line="276" w:lineRule="auto"/>
      <w:ind w:left="720"/>
      <w:contextualSpacing/>
    </w:pPr>
    <w:rPr>
      <w:rFonts w:ascii="Arial" w:eastAsia="Arial" w:hAnsi="Arial" w:cs="Cordia New"/>
      <w:color w:val="000000"/>
      <w:szCs w:val="28"/>
      <w:lang w:bidi="th-TH"/>
    </w:rPr>
  </w:style>
  <w:style w:type="character" w:styleId="Collegamentoipertestuale">
    <w:name w:val="Hyperlink"/>
    <w:basedOn w:val="Carpredefinitoparagrafo"/>
    <w:uiPriority w:val="99"/>
    <w:unhideWhenUsed/>
    <w:rsid w:val="008C63F0"/>
    <w:rPr>
      <w:color w:val="0563C1" w:themeColor="hyperlink"/>
      <w:u w:val="single"/>
    </w:rPr>
  </w:style>
  <w:style w:type="table" w:styleId="Tabellasemplice-2">
    <w:name w:val="Plain Table 2"/>
    <w:basedOn w:val="Tabellanormale"/>
    <w:uiPriority w:val="42"/>
    <w:rsid w:val="008C63F0"/>
    <w:pPr>
      <w:pBdr>
        <w:top w:val="nil"/>
        <w:left w:val="nil"/>
        <w:bottom w:val="nil"/>
        <w:right w:val="nil"/>
        <w:between w:val="nil"/>
      </w:pBdr>
      <w:spacing w:after="0" w:line="240" w:lineRule="auto"/>
    </w:pPr>
    <w:rPr>
      <w:rFonts w:ascii="Arial" w:eastAsia="Arial" w:hAnsi="Arial" w:cs="Arial"/>
      <w:color w:val="000000"/>
      <w:lang w:bidi="th-TH"/>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8C63F0"/>
    <w:pPr>
      <w:autoSpaceDE w:val="0"/>
      <w:autoSpaceDN w:val="0"/>
      <w:adjustRightInd w:val="0"/>
      <w:spacing w:after="0" w:line="240" w:lineRule="auto"/>
    </w:pPr>
    <w:rPr>
      <w:rFonts w:ascii="Cambria" w:eastAsia="Arial" w:hAnsi="Cambria" w:cs="Cambria"/>
      <w:color w:val="000000"/>
      <w:sz w:val="24"/>
      <w:szCs w:val="24"/>
    </w:rPr>
  </w:style>
  <w:style w:type="character" w:styleId="Rimandocommento">
    <w:name w:val="annotation reference"/>
    <w:basedOn w:val="Carpredefinitoparagrafo"/>
    <w:uiPriority w:val="99"/>
    <w:semiHidden/>
    <w:unhideWhenUsed/>
    <w:rsid w:val="00680020"/>
    <w:rPr>
      <w:sz w:val="16"/>
      <w:szCs w:val="16"/>
    </w:rPr>
  </w:style>
  <w:style w:type="paragraph" w:styleId="Testocommento">
    <w:name w:val="annotation text"/>
    <w:basedOn w:val="Normale"/>
    <w:link w:val="TestocommentoCarattere"/>
    <w:uiPriority w:val="99"/>
    <w:semiHidden/>
    <w:unhideWhenUsed/>
    <w:rsid w:val="0068002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80020"/>
    <w:rPr>
      <w:sz w:val="20"/>
      <w:szCs w:val="20"/>
    </w:rPr>
  </w:style>
  <w:style w:type="paragraph" w:styleId="Soggettocommento">
    <w:name w:val="annotation subject"/>
    <w:basedOn w:val="Testocommento"/>
    <w:next w:val="Testocommento"/>
    <w:link w:val="SoggettocommentoCarattere"/>
    <w:uiPriority w:val="99"/>
    <w:semiHidden/>
    <w:unhideWhenUsed/>
    <w:rsid w:val="00680020"/>
    <w:rPr>
      <w:b/>
      <w:bCs/>
    </w:rPr>
  </w:style>
  <w:style w:type="character" w:customStyle="1" w:styleId="SoggettocommentoCarattere">
    <w:name w:val="Soggetto commento Carattere"/>
    <w:basedOn w:val="TestocommentoCarattere"/>
    <w:link w:val="Soggettocommento"/>
    <w:uiPriority w:val="99"/>
    <w:semiHidden/>
    <w:rsid w:val="00680020"/>
    <w:rPr>
      <w:b/>
      <w:bCs/>
      <w:sz w:val="20"/>
      <w:szCs w:val="20"/>
    </w:rPr>
  </w:style>
  <w:style w:type="paragraph" w:styleId="Testofumetto">
    <w:name w:val="Balloon Text"/>
    <w:basedOn w:val="Normale"/>
    <w:link w:val="TestofumettoCarattere"/>
    <w:uiPriority w:val="99"/>
    <w:semiHidden/>
    <w:unhideWhenUsed/>
    <w:rsid w:val="0068002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0020"/>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680020"/>
    <w:pPr>
      <w:spacing w:after="0" w:line="240" w:lineRule="auto"/>
    </w:pPr>
    <w:rPr>
      <w:sz w:val="20"/>
      <w:szCs w:val="25"/>
      <w:lang w:bidi="th-TH"/>
    </w:rPr>
  </w:style>
  <w:style w:type="character" w:customStyle="1" w:styleId="TestonotaapidipaginaCarattere">
    <w:name w:val="Testo nota a piè di pagina Carattere"/>
    <w:basedOn w:val="Carpredefinitoparagrafo"/>
    <w:link w:val="Testonotaapidipagina"/>
    <w:uiPriority w:val="99"/>
    <w:semiHidden/>
    <w:rsid w:val="00680020"/>
    <w:rPr>
      <w:sz w:val="20"/>
      <w:szCs w:val="25"/>
      <w:lang w:bidi="th-TH"/>
    </w:rPr>
  </w:style>
  <w:style w:type="character" w:styleId="Rimandonotaapidipagina">
    <w:name w:val="footnote reference"/>
    <w:basedOn w:val="Carpredefinitoparagrafo"/>
    <w:uiPriority w:val="99"/>
    <w:unhideWhenUsed/>
    <w:rsid w:val="00680020"/>
    <w:rPr>
      <w:vertAlign w:val="superscript"/>
    </w:rPr>
  </w:style>
  <w:style w:type="table" w:styleId="Grigliatabella">
    <w:name w:val="Table Grid"/>
    <w:basedOn w:val="Tabellanormale"/>
    <w:uiPriority w:val="39"/>
    <w:rsid w:val="00E07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rsid w:val="001032A9"/>
    <w:pPr>
      <w:keepNext/>
      <w:keepLines/>
      <w:pBdr>
        <w:top w:val="nil"/>
        <w:left w:val="nil"/>
        <w:bottom w:val="nil"/>
        <w:right w:val="nil"/>
        <w:between w:val="nil"/>
      </w:pBdr>
      <w:spacing w:after="320" w:line="276" w:lineRule="auto"/>
    </w:pPr>
    <w:rPr>
      <w:rFonts w:ascii="Arial" w:eastAsia="Arial" w:hAnsi="Arial" w:cs="Arial"/>
      <w:color w:val="666666"/>
      <w:sz w:val="30"/>
      <w:szCs w:val="30"/>
      <w:lang w:bidi="th-TH"/>
    </w:rPr>
  </w:style>
  <w:style w:type="character" w:customStyle="1" w:styleId="SottotitoloCarattere">
    <w:name w:val="Sottotitolo Carattere"/>
    <w:basedOn w:val="Carpredefinitoparagrafo"/>
    <w:link w:val="Sottotitolo"/>
    <w:rsid w:val="001032A9"/>
    <w:rPr>
      <w:rFonts w:ascii="Arial" w:eastAsia="Arial" w:hAnsi="Arial" w:cs="Arial"/>
      <w:color w:val="666666"/>
      <w:sz w:val="30"/>
      <w:szCs w:val="30"/>
      <w:lang w:bidi="th-TH"/>
    </w:rPr>
  </w:style>
  <w:style w:type="character" w:styleId="Collegamentovisitato">
    <w:name w:val="FollowedHyperlink"/>
    <w:basedOn w:val="Carpredefinitoparagrafo"/>
    <w:uiPriority w:val="99"/>
    <w:semiHidden/>
    <w:unhideWhenUsed/>
    <w:rsid w:val="00103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5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sianlii.org/mm/legis/laws/atiplpadcln5200563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cpat.org/wp-content/uploads/2021/09/Assesment-Matrix_2021SEP_ENG_v2.pdf" TargetMode="External"/><Relationship Id="rId17" Type="http://schemas.openxmlformats.org/officeDocument/2006/relationships/hyperlink" Target="https://www.warnathgroup.com/wp-content/uploads/2015/03/Burma-Penal-Code.pdf" TargetMode="External"/><Relationship Id="rId2" Type="http://schemas.openxmlformats.org/officeDocument/2006/relationships/styles" Target="styles.xml"/><Relationship Id="rId16" Type="http://schemas.openxmlformats.org/officeDocument/2006/relationships/hyperlink" Target="https://www.unodc.org/res/cld/document/mmr/1904/the_myanmar_extradition_act_html/Myanmar_Extradition_Act_190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pat.org/wp-content/uploads/2021/08/SECTT-Checklist_ENG_Explanatory-note.pdf" TargetMode="External"/><Relationship Id="rId5" Type="http://schemas.openxmlformats.org/officeDocument/2006/relationships/footnotes" Target="footnotes.xml"/><Relationship Id="rId15" Type="http://schemas.openxmlformats.org/officeDocument/2006/relationships/hyperlink" Target="https://www.burmalibrary.org/docs14/Code_of_Criminal_Procedure+schedules.pdf" TargetMode="External"/><Relationship Id="rId10" Type="http://schemas.openxmlformats.org/officeDocument/2006/relationships/hyperlink" Target="https://ecpat.org/wp-content/uploads/2021/08/Global-Report-Offenders-on-the-Mov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pat.org/wp-content/uploads/2021/09/SECTT-Checklist_ENG-1.pdf" TargetMode="External"/><Relationship Id="rId14" Type="http://schemas.openxmlformats.org/officeDocument/2006/relationships/hyperlink" Target="http://myanmar-law-library.org/law-library/laws-and-regulations/laws/myanmar-laws-1988-until-now/national-league-for-democracy-2016/myanmar-laws-2019/pyidaungsu-hluttaw-law-no-22-2019-child-law-burme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2529</Words>
  <Characters>14290</Characters>
  <Application>Microsoft Office Word</Application>
  <DocSecurity>0</DocSecurity>
  <Lines>238</Lines>
  <Paragraphs>89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Varrella</dc:creator>
  <cp:keywords/>
  <dc:description/>
  <cp:lastModifiedBy>Greta Faieta</cp:lastModifiedBy>
  <cp:revision>2</cp:revision>
  <dcterms:created xsi:type="dcterms:W3CDTF">2022-10-04T16:15:00Z</dcterms:created>
  <dcterms:modified xsi:type="dcterms:W3CDTF">2022-10-04T16:15:00Z</dcterms:modified>
</cp:coreProperties>
</file>