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6553" w14:textId="4B247850" w:rsidR="008C63F0" w:rsidRPr="001032A9" w:rsidRDefault="00363C37" w:rsidP="008C63F0">
      <w:pPr>
        <w:rPr>
          <w:rFonts w:cstheme="minorHAnsi"/>
          <w:lang w:val="en-GB"/>
        </w:rPr>
      </w:pPr>
      <w:r w:rsidRPr="00351F0B">
        <w:rPr>
          <w:rFonts w:ascii="Helvetica" w:hAnsi="Helvetica" w:cs="Helvetica"/>
          <w:noProof/>
          <w:sz w:val="24"/>
          <w:szCs w:val="24"/>
        </w:rPr>
        <w:drawing>
          <wp:anchor distT="0" distB="0" distL="114300" distR="114300" simplePos="0" relativeHeight="251666432" behindDoc="1" locked="0" layoutInCell="1" allowOverlap="1" wp14:anchorId="3AE45E31" wp14:editId="24A59073">
            <wp:simplePos x="0" y="0"/>
            <wp:positionH relativeFrom="column">
              <wp:posOffset>6779370</wp:posOffset>
            </wp:positionH>
            <wp:positionV relativeFrom="paragraph">
              <wp:posOffset>-27514</wp:posOffset>
            </wp:positionV>
            <wp:extent cx="1404636" cy="1005115"/>
            <wp:effectExtent l="12700" t="12700" r="17780" b="1143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4636" cy="10051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052DE" w:rsidRPr="001032A9">
        <w:rPr>
          <w:rFonts w:cstheme="minorHAnsi"/>
          <w:b/>
          <w:bCs/>
          <w:noProof/>
          <w:color w:val="02436F"/>
          <w:sz w:val="32"/>
          <w:szCs w:val="32"/>
        </w:rPr>
        <w:drawing>
          <wp:anchor distT="0" distB="0" distL="114300" distR="114300" simplePos="0" relativeHeight="251662336" behindDoc="1" locked="0" layoutInCell="1" allowOverlap="1" wp14:anchorId="2E8B7D31" wp14:editId="773C3BE8">
            <wp:simplePos x="0" y="0"/>
            <wp:positionH relativeFrom="column">
              <wp:posOffset>-77964</wp:posOffset>
            </wp:positionH>
            <wp:positionV relativeFrom="paragraph">
              <wp:posOffset>372745</wp:posOffset>
            </wp:positionV>
            <wp:extent cx="2292350" cy="731520"/>
            <wp:effectExtent l="0" t="0" r="6350" b="5080"/>
            <wp:wrapTight wrapText="bothSides">
              <wp:wrapPolygon edited="0">
                <wp:start x="0" y="0"/>
                <wp:lineTo x="0" y="21375"/>
                <wp:lineTo x="21540" y="21375"/>
                <wp:lineTo x="21540"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Pr>
          <w:rFonts w:cstheme="minorHAnsi"/>
          <w:b/>
          <w:bCs/>
          <w:color w:val="02436F"/>
          <w:sz w:val="32"/>
          <w:szCs w:val="32"/>
        </w:rPr>
        <w:t>Singapore</w:t>
      </w:r>
    </w:p>
    <w:p w14:paraId="5FC358C9" w14:textId="77777777" w:rsidR="008C63F0" w:rsidRPr="001032A9" w:rsidRDefault="008C63F0" w:rsidP="008C63F0">
      <w:pPr>
        <w:jc w:val="both"/>
        <w:rPr>
          <w:rFonts w:eastAsia="Calibri" w:cstheme="minorHAnsi"/>
        </w:rPr>
      </w:pPr>
    </w:p>
    <w:p w14:paraId="7608E2C7" w14:textId="77777777" w:rsidR="004052DE" w:rsidRPr="001032A9" w:rsidRDefault="004052DE" w:rsidP="008C63F0">
      <w:pPr>
        <w:jc w:val="both"/>
        <w:rPr>
          <w:rFonts w:eastAsia="Calibri" w:cstheme="minorHAnsi"/>
        </w:rPr>
      </w:pPr>
    </w:p>
    <w:p w14:paraId="1DE0E879" w14:textId="77777777" w:rsidR="004052DE" w:rsidRPr="001032A9" w:rsidRDefault="004052DE" w:rsidP="008C63F0">
      <w:pPr>
        <w:jc w:val="both"/>
        <w:rPr>
          <w:rFonts w:eastAsia="Calibri" w:cstheme="minorHAnsi"/>
        </w:rPr>
      </w:pPr>
    </w:p>
    <w:p w14:paraId="64320157" w14:textId="6A7ECF3B" w:rsidR="008C63F0" w:rsidRPr="001032A9" w:rsidRDefault="008C63F0" w:rsidP="008C63F0">
      <w:pPr>
        <w:jc w:val="both"/>
        <w:rPr>
          <w:rFonts w:eastAsia="Calibri" w:cstheme="minorHAnsi"/>
        </w:rPr>
      </w:pPr>
      <w:r w:rsidRPr="001032A9">
        <w:rPr>
          <w:rFonts w:eastAsia="Calibri" w:cstheme="minorHAnsi"/>
        </w:rPr>
        <w:t xml:space="preserve">ECPAT International has developed </w:t>
      </w:r>
      <w:hyperlink r:id="rId9" w:history="1">
        <w:r w:rsidRPr="001032A9">
          <w:rPr>
            <w:rFonts w:eastAsia="Calibri" w:cstheme="minorHAnsi"/>
            <w:color w:val="0563C1"/>
            <w:u w:val="single"/>
          </w:rPr>
          <w:t>a legal checklist</w:t>
        </w:r>
      </w:hyperlink>
      <w:r w:rsidRPr="001032A9">
        <w:rPr>
          <w:rFonts w:eastAsia="Calibri" w:cstheme="minorHAnsi"/>
        </w:rPr>
        <w:t xml:space="preserve"> for governments providing guidance for legal interventions and measures to adopt in order to improve their national legal frameworks. This will help to effectively address the crime of sexual exploitation of children in travel and tourism, including its online elements. </w:t>
      </w:r>
    </w:p>
    <w:p w14:paraId="6D6A5D24" w14:textId="78FDD9CD" w:rsidR="008C63F0" w:rsidRPr="001032A9" w:rsidRDefault="008C63F0" w:rsidP="008C63F0">
      <w:pPr>
        <w:jc w:val="both"/>
        <w:rPr>
          <w:rFonts w:eastAsia="Calibri" w:cstheme="minorHAnsi"/>
        </w:rPr>
      </w:pPr>
      <w:r w:rsidRPr="001032A9">
        <w:rPr>
          <w:rFonts w:eastAsia="Calibri" w:cstheme="minorHAnsi"/>
        </w:rPr>
        <w:t xml:space="preserve">The legal checklist was developed based on the recommendations of the first </w:t>
      </w:r>
      <w:hyperlink r:id="rId10" w:history="1">
        <w:r w:rsidRPr="001032A9">
          <w:rPr>
            <w:rStyle w:val="Collegamentoipertestuale"/>
            <w:rFonts w:eastAsia="Calibri" w:cstheme="minorHAnsi"/>
          </w:rPr>
          <w:t>Global Study</w:t>
        </w:r>
      </w:hyperlink>
      <w:r w:rsidRPr="001032A9">
        <w:rPr>
          <w:rFonts w:eastAsia="Calibri" w:cstheme="minorHAnsi"/>
        </w:rPr>
        <w:t xml:space="preserve"> on sexual exploitation of children in the context of travel and tourism. Following the development of this legal checklist, ECPAT International conducted country legal analysis for </w:t>
      </w:r>
      <w:r w:rsidR="00DF78CF" w:rsidRPr="001032A9">
        <w:rPr>
          <w:rFonts w:eastAsia="Calibri" w:cstheme="minorHAnsi"/>
        </w:rPr>
        <w:t xml:space="preserve">the </w:t>
      </w:r>
      <w:r w:rsidR="00883203">
        <w:rPr>
          <w:rFonts w:eastAsia="Calibri" w:cstheme="minorHAnsi"/>
        </w:rPr>
        <w:t>Singapore</w:t>
      </w:r>
      <w:r w:rsidRPr="001032A9">
        <w:rPr>
          <w:rFonts w:eastAsia="Calibri" w:cstheme="minorHAnsi"/>
        </w:rPr>
        <w:t xml:space="preserve"> and other countries in </w:t>
      </w:r>
      <w:r w:rsidR="00DF78CF" w:rsidRPr="001032A9">
        <w:rPr>
          <w:rFonts w:eastAsia="Calibri" w:cstheme="minorHAnsi"/>
        </w:rPr>
        <w:t>Southeast Asia</w:t>
      </w:r>
      <w:r w:rsidRPr="001032A9">
        <w:rPr>
          <w:rFonts w:eastAsia="Calibri" w:cstheme="minorHAnsi"/>
        </w:rPr>
        <w:t xml:space="preserve">, as well as </w:t>
      </w:r>
      <w:r w:rsidR="00DF78CF" w:rsidRPr="001032A9">
        <w:rPr>
          <w:rFonts w:eastAsia="Calibri" w:cstheme="minorHAnsi"/>
        </w:rPr>
        <w:t>Africa</w:t>
      </w:r>
      <w:r w:rsidRPr="001032A9">
        <w:rPr>
          <w:rFonts w:eastAsia="Calibri" w:cstheme="minorHAnsi"/>
        </w:rPr>
        <w:t xml:space="preserve">, </w:t>
      </w:r>
      <w:proofErr w:type="gramStart"/>
      <w:r w:rsidRPr="001032A9">
        <w:rPr>
          <w:rFonts w:eastAsia="Calibri" w:cstheme="minorHAnsi"/>
        </w:rPr>
        <w:t>Asia</w:t>
      </w:r>
      <w:proofErr w:type="gramEnd"/>
      <w:r w:rsidRPr="001032A9">
        <w:rPr>
          <w:rFonts w:eastAsia="Calibri" w:cstheme="minorHAnsi"/>
        </w:rPr>
        <w:t xml:space="preserve"> and the Americas. </w:t>
      </w:r>
    </w:p>
    <w:p w14:paraId="2484158E" w14:textId="77777777" w:rsidR="008C63F0" w:rsidRPr="001032A9" w:rsidRDefault="008C63F0" w:rsidP="008C63F0">
      <w:pPr>
        <w:jc w:val="both"/>
        <w:rPr>
          <w:rFonts w:eastAsia="Calibri" w:cstheme="minorHAnsi"/>
        </w:rPr>
      </w:pPr>
      <w:r w:rsidRPr="001032A9">
        <w:rPr>
          <w:rFonts w:eastAsia="Calibri" w:cstheme="minorHAnsi"/>
        </w:rPr>
        <w:t xml:space="preserve">The country analysis serves as a baseline to indicate and track the implementation status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7A3BBC94" w14:textId="77777777" w:rsidR="008C63F0" w:rsidRPr="001032A9" w:rsidRDefault="008C63F0" w:rsidP="008C63F0">
      <w:pPr>
        <w:spacing w:line="240" w:lineRule="auto"/>
        <w:jc w:val="both"/>
        <w:rPr>
          <w:rFonts w:eastAsia="Calibri" w:cstheme="minorHAnsi"/>
        </w:rPr>
      </w:pPr>
      <w:r w:rsidRPr="001032A9">
        <w:rPr>
          <w:rFonts w:eastAsia="Calibri" w:cstheme="minorHAnsi"/>
        </w:rPr>
        <w:t xml:space="preserve">The table below allows easy assessment of existing legislation against the 24 measures of the legal checklist. It will be updated as the laws and policies change. An </w:t>
      </w:r>
      <w:hyperlink r:id="rId11" w:history="1">
        <w:r w:rsidRPr="001032A9">
          <w:rPr>
            <w:rFonts w:eastAsia="Calibri" w:cstheme="minorHAnsi"/>
            <w:color w:val="0563C1"/>
            <w:u w:val="single"/>
          </w:rPr>
          <w:t>explanatory note</w:t>
        </w:r>
      </w:hyperlink>
      <w:r w:rsidRPr="001032A9">
        <w:rPr>
          <w:rFonts w:eastAsia="Calibri" w:cstheme="minorHAnsi"/>
        </w:rPr>
        <w:t xml:space="preserve"> and an </w:t>
      </w:r>
      <w:hyperlink r:id="rId12" w:history="1">
        <w:r w:rsidRPr="001032A9">
          <w:rPr>
            <w:rFonts w:eastAsia="Calibri" w:cstheme="minorHAnsi"/>
            <w:color w:val="0563C1"/>
            <w:u w:val="single"/>
          </w:rPr>
          <w:t>assessment matrix</w:t>
        </w:r>
      </w:hyperlink>
      <w:r w:rsidRPr="001032A9">
        <w:rPr>
          <w:rFonts w:eastAsia="Calibri" w:cstheme="minorHAnsi"/>
        </w:rPr>
        <w:t xml:space="preserve"> can be consulted for further reference.</w:t>
      </w:r>
    </w:p>
    <w:p w14:paraId="60BE6B5B" w14:textId="77777777" w:rsidR="008C63F0" w:rsidRPr="001032A9" w:rsidRDefault="008C63F0" w:rsidP="008C63F0">
      <w:pPr>
        <w:rPr>
          <w:rFonts w:cstheme="minorHAnsi"/>
        </w:rPr>
      </w:pPr>
    </w:p>
    <w:tbl>
      <w:tblPr>
        <w:tblStyle w:val="Grigliatabella"/>
        <w:tblW w:w="14175" w:type="dxa"/>
        <w:tblInd w:w="-572" w:type="dxa"/>
        <w:tblLayout w:type="fixed"/>
        <w:tblLook w:val="0600" w:firstRow="0" w:lastRow="0" w:firstColumn="0" w:lastColumn="0" w:noHBand="1" w:noVBand="1"/>
      </w:tblPr>
      <w:tblGrid>
        <w:gridCol w:w="425"/>
        <w:gridCol w:w="5529"/>
        <w:gridCol w:w="1701"/>
        <w:gridCol w:w="6520"/>
      </w:tblGrid>
      <w:tr w:rsidR="00A21390" w:rsidRPr="001032A9" w14:paraId="415AEFF0" w14:textId="77777777" w:rsidTr="00A21390">
        <w:trPr>
          <w:trHeight w:val="460"/>
        </w:trPr>
        <w:tc>
          <w:tcPr>
            <w:tcW w:w="425" w:type="dxa"/>
          </w:tcPr>
          <w:p w14:paraId="1C105EC0" w14:textId="77777777" w:rsidR="00A21390" w:rsidRPr="001032A9" w:rsidRDefault="00A21390" w:rsidP="00C33EAA">
            <w:pPr>
              <w:spacing w:after="160"/>
              <w:rPr>
                <w:rFonts w:cstheme="minorHAnsi"/>
                <w:b/>
                <w:bCs/>
                <w:lang w:val="en-GB"/>
              </w:rPr>
            </w:pPr>
          </w:p>
        </w:tc>
        <w:tc>
          <w:tcPr>
            <w:tcW w:w="5529" w:type="dxa"/>
          </w:tcPr>
          <w:p w14:paraId="3B0FBFD2" w14:textId="77777777" w:rsidR="00A21390" w:rsidRPr="001032A9" w:rsidRDefault="00A21390" w:rsidP="00C33EAA">
            <w:pPr>
              <w:spacing w:after="160"/>
              <w:rPr>
                <w:rFonts w:cstheme="minorHAnsi"/>
                <w:b/>
                <w:bCs/>
                <w:lang w:val="en-GB"/>
              </w:rPr>
            </w:pPr>
            <w:r w:rsidRPr="001032A9">
              <w:rPr>
                <w:rFonts w:cstheme="minorHAnsi"/>
                <w:b/>
                <w:bCs/>
                <w:lang w:val="en-GB"/>
              </w:rPr>
              <w:t>Recommendations</w:t>
            </w:r>
          </w:p>
        </w:tc>
        <w:tc>
          <w:tcPr>
            <w:tcW w:w="1701" w:type="dxa"/>
          </w:tcPr>
          <w:p w14:paraId="663EAD7C" w14:textId="77777777" w:rsidR="00A21390" w:rsidRPr="001032A9" w:rsidRDefault="00A21390" w:rsidP="00C33EAA">
            <w:pPr>
              <w:rPr>
                <w:rFonts w:cstheme="minorHAnsi"/>
                <w:b/>
                <w:bCs/>
                <w:lang w:val="en-GB"/>
              </w:rPr>
            </w:pPr>
            <w:r w:rsidRPr="001032A9">
              <w:rPr>
                <w:rFonts w:cstheme="minorHAnsi"/>
                <w:b/>
                <w:bCs/>
                <w:lang w:val="en-GB"/>
              </w:rPr>
              <w:t>Implemented</w:t>
            </w:r>
          </w:p>
        </w:tc>
        <w:tc>
          <w:tcPr>
            <w:tcW w:w="6520" w:type="dxa"/>
          </w:tcPr>
          <w:p w14:paraId="0D9251DB" w14:textId="77777777" w:rsidR="00A21390" w:rsidRPr="001032A9" w:rsidRDefault="00A21390" w:rsidP="00C33EAA">
            <w:pPr>
              <w:rPr>
                <w:rFonts w:cstheme="minorHAnsi"/>
                <w:b/>
                <w:bCs/>
                <w:lang w:val="en-GB"/>
              </w:rPr>
            </w:pPr>
            <w:r w:rsidRPr="001032A9">
              <w:rPr>
                <w:rFonts w:cstheme="minorHAnsi"/>
                <w:b/>
                <w:bCs/>
                <w:lang w:val="en-GB"/>
              </w:rPr>
              <w:t>Legislation</w:t>
            </w:r>
          </w:p>
        </w:tc>
      </w:tr>
      <w:tr w:rsidR="00363C37" w:rsidRPr="001032A9" w14:paraId="32F94587" w14:textId="77777777" w:rsidTr="00A21390">
        <w:trPr>
          <w:trHeight w:val="1740"/>
        </w:trPr>
        <w:tc>
          <w:tcPr>
            <w:tcW w:w="425" w:type="dxa"/>
          </w:tcPr>
          <w:p w14:paraId="58B39890"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7CF0A600" w14:textId="77777777" w:rsidR="00363C37" w:rsidRPr="001032A9" w:rsidRDefault="00363C37" w:rsidP="00363C37">
            <w:pPr>
              <w:spacing w:after="160"/>
              <w:rPr>
                <w:rFonts w:cstheme="minorHAnsi"/>
                <w:lang w:val="en-GB"/>
              </w:rPr>
            </w:pPr>
            <w:r w:rsidRPr="001032A9">
              <w:rPr>
                <w:rFonts w:eastAsia="Calibri" w:cstheme="minorHAnsi"/>
              </w:rPr>
              <w:t xml:space="preserve">Establish by law </w:t>
            </w:r>
            <w:r w:rsidRPr="001032A9">
              <w:rPr>
                <w:rFonts w:eastAsia="Calibri" w:cstheme="minorHAnsi"/>
                <w:b/>
              </w:rPr>
              <w:t>extra-territorial jurisdiction</w:t>
            </w:r>
            <w:r w:rsidRPr="001032A9">
              <w:rPr>
                <w:rFonts w:eastAsia="Calibri" w:cstheme="minorHAnsi"/>
              </w:rPr>
              <w:t>, within the parameters of Article 4 OPSC, for all offences of sexual exploitation of children, including those occurring in the online environment.</w:t>
            </w:r>
          </w:p>
        </w:tc>
        <w:tc>
          <w:tcPr>
            <w:tcW w:w="1701" w:type="dxa"/>
          </w:tcPr>
          <w:p w14:paraId="371D3819" w14:textId="2EF39DC9" w:rsidR="00363C37" w:rsidRPr="001032A9" w:rsidRDefault="00363C37" w:rsidP="00363C37">
            <w:pPr>
              <w:rPr>
                <w:rFonts w:cstheme="minorHAnsi"/>
                <w:bCs/>
                <w:color w:val="000000" w:themeColor="text1"/>
                <w:lang w:val="en-GB"/>
              </w:rPr>
            </w:pPr>
            <w:r>
              <w:rPr>
                <w:rFonts w:cstheme="minorHAnsi"/>
                <w:bCs/>
                <w:color w:val="000000" w:themeColor="text1"/>
                <w:lang w:val="en-GB"/>
              </w:rPr>
              <w:t>Yes</w:t>
            </w:r>
          </w:p>
        </w:tc>
        <w:tc>
          <w:tcPr>
            <w:tcW w:w="6520" w:type="dxa"/>
          </w:tcPr>
          <w:p w14:paraId="06E5A50B" w14:textId="65BE96EB" w:rsidR="00363C37" w:rsidRPr="00363C37" w:rsidRDefault="00363C37" w:rsidP="00363C37">
            <w:pPr>
              <w:rPr>
                <w:rFonts w:cstheme="minorHAnsi"/>
                <w:lang w:val="en-GB"/>
              </w:rPr>
            </w:pPr>
            <w:r w:rsidRPr="00363C37">
              <w:rPr>
                <w:rFonts w:cstheme="minorHAnsi"/>
                <w:lang w:val="en-GB"/>
              </w:rPr>
              <w:t>Sections 2 and 3 in conjunction with Section 376C of the Penal Code meet the minimal standards of art. (4)1 OPSC. No passive application for Singaporean victims for crimes committed outside Singapore.</w:t>
            </w:r>
          </w:p>
        </w:tc>
      </w:tr>
      <w:tr w:rsidR="00363C37" w:rsidRPr="001032A9" w14:paraId="022EBF10" w14:textId="77777777" w:rsidTr="00A21390">
        <w:trPr>
          <w:trHeight w:val="1740"/>
        </w:trPr>
        <w:tc>
          <w:tcPr>
            <w:tcW w:w="425" w:type="dxa"/>
          </w:tcPr>
          <w:p w14:paraId="1FED1E2B"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66AB0E18" w14:textId="77777777" w:rsidR="00363C37" w:rsidRPr="001032A9" w:rsidRDefault="00363C37" w:rsidP="00363C37">
            <w:pPr>
              <w:spacing w:after="160"/>
              <w:rPr>
                <w:rFonts w:cstheme="minorHAnsi"/>
                <w:lang w:val="en-GB"/>
              </w:rPr>
            </w:pPr>
            <w:r w:rsidRPr="001032A9">
              <w:rPr>
                <w:rFonts w:eastAsia="Calibri" w:cstheme="minorHAnsi"/>
              </w:rPr>
              <w:t xml:space="preserve">Include in extradition treaties the sexual exploitation of children as </w:t>
            </w:r>
            <w:r w:rsidRPr="001032A9">
              <w:rPr>
                <w:rFonts w:eastAsia="Calibri" w:cstheme="minorHAnsi"/>
                <w:b/>
              </w:rPr>
              <w:t>extraditable offences</w:t>
            </w:r>
            <w:r w:rsidRPr="001032A9">
              <w:rPr>
                <w:rFonts w:eastAsia="Calibri" w:cstheme="minorHAnsi"/>
              </w:rPr>
              <w:t xml:space="preserve"> and apply when appropriate the rules of article 5 </w:t>
            </w:r>
            <w:proofErr w:type="gramStart"/>
            <w:r w:rsidRPr="001032A9">
              <w:rPr>
                <w:rFonts w:eastAsia="Calibri" w:cstheme="minorHAnsi"/>
              </w:rPr>
              <w:t>OPSC,  regardless</w:t>
            </w:r>
            <w:proofErr w:type="gramEnd"/>
            <w:r w:rsidRPr="001032A9">
              <w:rPr>
                <w:rFonts w:eastAsia="Calibri" w:cstheme="minorHAnsi"/>
              </w:rPr>
              <w:t xml:space="preserve"> the nationality of the (alleged) offender.</w:t>
            </w:r>
          </w:p>
        </w:tc>
        <w:tc>
          <w:tcPr>
            <w:tcW w:w="1701" w:type="dxa"/>
          </w:tcPr>
          <w:p w14:paraId="4B488A95" w14:textId="77777777" w:rsidR="00363C37" w:rsidRPr="001032A9" w:rsidDel="009C2987" w:rsidRDefault="00363C37" w:rsidP="00363C37">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03182A7E" w14:textId="63F19607" w:rsidR="00363C37" w:rsidRPr="00A60801" w:rsidRDefault="00363C37" w:rsidP="00363C37">
            <w:pPr>
              <w:rPr>
                <w:rFonts w:eastAsia="Times New Roman" w:cstheme="minorHAnsi"/>
                <w:lang w:val="en-GB"/>
              </w:rPr>
            </w:pPr>
            <w:r w:rsidRPr="00363C37">
              <w:rPr>
                <w:rFonts w:eastAsia="Times New Roman" w:cstheme="minorHAnsi"/>
                <w:lang w:val="en-GB"/>
              </w:rPr>
              <w:t>Under the Extradition Act, Singapore will only extradite to a declared Commonwealth country, Malaysia or a foreign state with which Singapore has an extradition treaty or arrangements. In the case of Commonwealth countries, Singapore will extradite if the act (wherever committed) is an extraditable offence according to the Extradition Act. In respect of foreign states, an extraditable offence would mean an offence according to the law of the requesting state, and, when committed on Singapore’s territory, is also an extraditable offence according to the Extradition Act. Unlawful sexual intercourse with a female; indecent assault; procuring, or trafficking in, women or young persons for immoral purposes are considered extraditable offences by the Act. There is no mention about these offences against male victims.</w:t>
            </w:r>
          </w:p>
          <w:p w14:paraId="5657D261" w14:textId="4615735E" w:rsidR="00363C37" w:rsidRPr="001032A9" w:rsidRDefault="00363C37" w:rsidP="00363C37">
            <w:pPr>
              <w:rPr>
                <w:rFonts w:cstheme="minorHAnsi"/>
                <w:lang w:val="en-GB"/>
              </w:rPr>
            </w:pPr>
          </w:p>
        </w:tc>
      </w:tr>
      <w:tr w:rsidR="00363C37" w:rsidRPr="001032A9" w14:paraId="7F94967F" w14:textId="77777777" w:rsidTr="00A21390">
        <w:trPr>
          <w:trHeight w:val="920"/>
        </w:trPr>
        <w:tc>
          <w:tcPr>
            <w:tcW w:w="425" w:type="dxa"/>
          </w:tcPr>
          <w:p w14:paraId="56648AE6"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6A317B56" w14:textId="77777777" w:rsidR="00363C37" w:rsidRPr="001032A9" w:rsidRDefault="00363C37" w:rsidP="00363C37">
            <w:pPr>
              <w:spacing w:after="160"/>
              <w:rPr>
                <w:rFonts w:cstheme="minorHAnsi"/>
                <w:lang w:val="en-GB"/>
              </w:rPr>
            </w:pPr>
            <w:r w:rsidRPr="001032A9">
              <w:rPr>
                <w:rFonts w:eastAsia="Calibri" w:cstheme="minorHAnsi"/>
              </w:rPr>
              <w:t xml:space="preserve">Do NOT require the principle of </w:t>
            </w:r>
            <w:r w:rsidRPr="001032A9">
              <w:rPr>
                <w:rFonts w:eastAsia="Calibri" w:cstheme="minorHAnsi"/>
                <w:b/>
              </w:rPr>
              <w:t>double criminality</w:t>
            </w:r>
            <w:r w:rsidRPr="001032A9">
              <w:rPr>
                <w:rFonts w:eastAsia="Calibri" w:cstheme="minorHAnsi"/>
              </w:rPr>
              <w:t xml:space="preserve"> for proceeding with extraterritorial jurisdiction or extradition for sexual offences against children.</w:t>
            </w:r>
          </w:p>
        </w:tc>
        <w:tc>
          <w:tcPr>
            <w:tcW w:w="1701" w:type="dxa"/>
          </w:tcPr>
          <w:p w14:paraId="075584A9" w14:textId="7EE829E4" w:rsidR="00363C37" w:rsidRPr="001032A9" w:rsidRDefault="00363C37" w:rsidP="00363C37">
            <w:pPr>
              <w:rPr>
                <w:rFonts w:cstheme="minorHAnsi"/>
                <w:bCs/>
                <w:color w:val="000000" w:themeColor="text1"/>
                <w:lang w:val="en-GB"/>
              </w:rPr>
            </w:pPr>
            <w:r>
              <w:rPr>
                <w:rFonts w:cstheme="minorHAnsi"/>
                <w:bCs/>
                <w:color w:val="000000" w:themeColor="text1"/>
                <w:lang w:val="en-GB"/>
              </w:rPr>
              <w:t>Partially</w:t>
            </w:r>
          </w:p>
        </w:tc>
        <w:tc>
          <w:tcPr>
            <w:tcW w:w="6520" w:type="dxa"/>
          </w:tcPr>
          <w:p w14:paraId="39124969" w14:textId="77777777" w:rsidR="00363C37" w:rsidRPr="00363C37" w:rsidRDefault="00363C37" w:rsidP="00363C37">
            <w:pPr>
              <w:rPr>
                <w:rFonts w:cstheme="minorHAnsi"/>
                <w:lang w:val="en-GB"/>
              </w:rPr>
            </w:pPr>
            <w:r w:rsidRPr="00363C37">
              <w:rPr>
                <w:rFonts w:cstheme="minorHAnsi"/>
                <w:lang w:val="en-GB"/>
              </w:rPr>
              <w:t xml:space="preserve">Jurisdiction: Singapore does not apply the principle of double criminality when it is exercising its jurisdiction over citizens or permanent residents of Singapore who had commercial sex with a minor below the age of 18 outside of Singapore. In that case, it is not required that the conduct </w:t>
            </w:r>
            <w:proofErr w:type="gramStart"/>
            <w:r w:rsidRPr="00363C37">
              <w:rPr>
                <w:rFonts w:cstheme="minorHAnsi"/>
                <w:lang w:val="en-GB"/>
              </w:rPr>
              <w:t>is considered to be</w:t>
            </w:r>
            <w:proofErr w:type="gramEnd"/>
            <w:r w:rsidRPr="00363C37">
              <w:rPr>
                <w:rFonts w:cstheme="minorHAnsi"/>
                <w:lang w:val="en-GB"/>
              </w:rPr>
              <w:t xml:space="preserve"> an offence in both countries. </w:t>
            </w:r>
          </w:p>
          <w:p w14:paraId="76CF08E1" w14:textId="0D9704CF" w:rsidR="00363C37" w:rsidRPr="00363C37" w:rsidRDefault="00363C37" w:rsidP="00363C37">
            <w:pPr>
              <w:rPr>
                <w:rFonts w:cstheme="minorHAnsi"/>
                <w:lang w:val="en-GB"/>
              </w:rPr>
            </w:pPr>
            <w:r w:rsidRPr="00363C37">
              <w:rPr>
                <w:rFonts w:cstheme="minorHAnsi"/>
                <w:lang w:val="en-GB"/>
              </w:rPr>
              <w:t>Extradition: When a request of extradition is submitted by Commonwealth countries, the Extradition Act authorises Singapore to extradite to the extent that the offence is listed amongst the extraditable offence. On the other hand, when the request comes from a foreign state, the principle of double criminality is applicable.</w:t>
            </w:r>
          </w:p>
        </w:tc>
      </w:tr>
      <w:tr w:rsidR="00363C37" w:rsidRPr="001032A9" w14:paraId="6F0763EB" w14:textId="77777777" w:rsidTr="00A21390">
        <w:trPr>
          <w:trHeight w:val="20"/>
        </w:trPr>
        <w:tc>
          <w:tcPr>
            <w:tcW w:w="425" w:type="dxa"/>
          </w:tcPr>
          <w:p w14:paraId="025E8299"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7EC4CFD1" w14:textId="77777777" w:rsidR="00363C37" w:rsidRPr="001032A9" w:rsidRDefault="00363C37" w:rsidP="00363C37">
            <w:pPr>
              <w:spacing w:after="160"/>
              <w:rPr>
                <w:rFonts w:cstheme="minorHAnsi"/>
                <w:lang w:val="en-GB"/>
              </w:rPr>
            </w:pPr>
            <w:r w:rsidRPr="001032A9">
              <w:rPr>
                <w:rFonts w:eastAsia="Calibri" w:cstheme="minorHAnsi"/>
              </w:rPr>
              <w:t xml:space="preserve">Abolish </w:t>
            </w:r>
            <w:r w:rsidRPr="001032A9">
              <w:rPr>
                <w:rFonts w:eastAsia="Calibri" w:cstheme="minorHAnsi"/>
                <w:b/>
              </w:rPr>
              <w:t>statutory limitations</w:t>
            </w:r>
            <w:r w:rsidRPr="001032A9">
              <w:rPr>
                <w:rFonts w:eastAsia="Calibri" w:cstheme="minorHAnsi"/>
              </w:rPr>
              <w:t xml:space="preserve"> for the prosecution of ALL offences of sexual exploitation of children.</w:t>
            </w:r>
          </w:p>
        </w:tc>
        <w:tc>
          <w:tcPr>
            <w:tcW w:w="1701" w:type="dxa"/>
          </w:tcPr>
          <w:p w14:paraId="5F657385" w14:textId="3517C3B4"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Yes</w:t>
            </w:r>
          </w:p>
        </w:tc>
        <w:tc>
          <w:tcPr>
            <w:tcW w:w="6520" w:type="dxa"/>
          </w:tcPr>
          <w:p w14:paraId="714494A5" w14:textId="5CBAD894" w:rsidR="00363C37" w:rsidRPr="00363C37" w:rsidRDefault="00363C37" w:rsidP="00363C37">
            <w:pPr>
              <w:rPr>
                <w:rFonts w:cstheme="minorHAnsi"/>
                <w:lang w:val="en-GB"/>
              </w:rPr>
            </w:pPr>
            <w:r w:rsidRPr="00363C37">
              <w:rPr>
                <w:rFonts w:cstheme="minorHAnsi"/>
                <w:lang w:val="en-GB"/>
              </w:rPr>
              <w:t>It appears that in Singapore there are no statutory limitations at all for any criminal offences.</w:t>
            </w:r>
          </w:p>
        </w:tc>
      </w:tr>
      <w:tr w:rsidR="00363C37" w:rsidRPr="001032A9" w14:paraId="4F774369" w14:textId="77777777" w:rsidTr="00A21390">
        <w:trPr>
          <w:trHeight w:val="920"/>
        </w:trPr>
        <w:tc>
          <w:tcPr>
            <w:tcW w:w="425" w:type="dxa"/>
          </w:tcPr>
          <w:p w14:paraId="09911075"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1D310324" w14:textId="77777777" w:rsidR="00363C37" w:rsidRPr="001032A9" w:rsidRDefault="00363C37" w:rsidP="00363C37">
            <w:pPr>
              <w:spacing w:after="160"/>
              <w:rPr>
                <w:rFonts w:cstheme="minorHAnsi"/>
                <w:lang w:val="en-GB"/>
              </w:rPr>
            </w:pPr>
            <w:r w:rsidRPr="001032A9">
              <w:rPr>
                <w:rFonts w:eastAsia="Calibri" w:cstheme="minorHAnsi"/>
              </w:rPr>
              <w:t xml:space="preserve">Set up </w:t>
            </w:r>
            <w:r w:rsidRPr="001032A9">
              <w:rPr>
                <w:rFonts w:eastAsia="Calibri" w:cstheme="minorHAnsi"/>
                <w:b/>
              </w:rPr>
              <w:t xml:space="preserve">conditions for any travel </w:t>
            </w:r>
            <w:r w:rsidRPr="001032A9">
              <w:rPr>
                <w:rFonts w:eastAsia="Calibri" w:cstheme="minorHAnsi"/>
              </w:rPr>
              <w:t>by persons convicted of sexual exploitation of children.</w:t>
            </w:r>
          </w:p>
        </w:tc>
        <w:tc>
          <w:tcPr>
            <w:tcW w:w="1701" w:type="dxa"/>
          </w:tcPr>
          <w:p w14:paraId="7C523D1D" w14:textId="7B024A1E"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 xml:space="preserve"> </w:t>
            </w:r>
            <w:r w:rsidRPr="00C27050">
              <w:rPr>
                <w:rFonts w:cstheme="minorHAnsi"/>
                <w:bCs/>
                <w:color w:val="000000" w:themeColor="text1"/>
                <w:lang w:val="en-GB"/>
              </w:rPr>
              <w:t>?</w:t>
            </w:r>
          </w:p>
        </w:tc>
        <w:tc>
          <w:tcPr>
            <w:tcW w:w="6520" w:type="dxa"/>
          </w:tcPr>
          <w:p w14:paraId="02DC10A5" w14:textId="568A102A" w:rsidR="00363C37" w:rsidRPr="00C27050" w:rsidRDefault="00363C37" w:rsidP="00363C37">
            <w:pPr>
              <w:rPr>
                <w:rFonts w:cstheme="minorHAnsi"/>
                <w:lang w:val="en-GB"/>
              </w:rPr>
            </w:pPr>
            <w:r w:rsidRPr="00C27050">
              <w:rPr>
                <w:rFonts w:cstheme="minorHAnsi"/>
                <w:lang w:val="en-GB"/>
              </w:rPr>
              <w:t xml:space="preserve">Access to the country has been denied in the past based on intelligence of foreign law enforcement agencies. </w:t>
            </w:r>
          </w:p>
        </w:tc>
      </w:tr>
      <w:tr w:rsidR="00363C37" w:rsidRPr="001032A9" w14:paraId="66544A55" w14:textId="77777777" w:rsidTr="00A21390">
        <w:trPr>
          <w:trHeight w:val="432"/>
        </w:trPr>
        <w:tc>
          <w:tcPr>
            <w:tcW w:w="425" w:type="dxa"/>
          </w:tcPr>
          <w:p w14:paraId="2D61F933"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22A1F325" w14:textId="77777777" w:rsidR="00363C37" w:rsidRPr="001032A9" w:rsidRDefault="00363C37" w:rsidP="00363C37">
            <w:pPr>
              <w:spacing w:after="160"/>
              <w:rPr>
                <w:rFonts w:cstheme="minorHAnsi"/>
                <w:lang w:val="en-GB"/>
              </w:rPr>
            </w:pPr>
            <w:r w:rsidRPr="001032A9">
              <w:rPr>
                <w:rFonts w:eastAsia="Calibri" w:cstheme="minorHAnsi"/>
              </w:rPr>
              <w:t xml:space="preserve">Ensure </w:t>
            </w:r>
            <w:r w:rsidRPr="001032A9">
              <w:rPr>
                <w:rFonts w:eastAsia="Calibri" w:cstheme="minorHAnsi"/>
                <w:b/>
              </w:rPr>
              <w:t xml:space="preserve">consistency in the definition of a ‘child’ </w:t>
            </w:r>
            <w:r w:rsidRPr="001032A9">
              <w:rPr>
                <w:rFonts w:eastAsia="Calibri" w:cstheme="minorHAnsi"/>
              </w:rPr>
              <w:t>as anyone under the age of 18 for all crimes of sexual exploitation, regardless of the age of sexual consent.</w:t>
            </w:r>
          </w:p>
        </w:tc>
        <w:tc>
          <w:tcPr>
            <w:tcW w:w="1701" w:type="dxa"/>
          </w:tcPr>
          <w:p w14:paraId="39F98F35" w14:textId="1D50DE19" w:rsidR="00363C37" w:rsidRPr="001032A9" w:rsidRDefault="00363C37" w:rsidP="00363C37">
            <w:pPr>
              <w:rPr>
                <w:rFonts w:cstheme="minorHAnsi"/>
                <w:bCs/>
                <w:color w:val="000000" w:themeColor="text1"/>
                <w:lang w:val="en-GB"/>
              </w:rPr>
            </w:pPr>
            <w:r>
              <w:rPr>
                <w:rFonts w:cstheme="minorHAnsi"/>
                <w:bCs/>
                <w:color w:val="000000" w:themeColor="text1"/>
                <w:lang w:val="en-GB"/>
              </w:rPr>
              <w:t>Partially</w:t>
            </w:r>
          </w:p>
        </w:tc>
        <w:tc>
          <w:tcPr>
            <w:tcW w:w="6520" w:type="dxa"/>
          </w:tcPr>
          <w:p w14:paraId="6340B21E" w14:textId="77777777" w:rsidR="00363C37" w:rsidRPr="00363C37" w:rsidRDefault="00363C37" w:rsidP="00363C37">
            <w:pPr>
              <w:rPr>
                <w:rFonts w:cstheme="minorHAnsi"/>
                <w:lang w:val="en-GB"/>
              </w:rPr>
            </w:pPr>
            <w:r w:rsidRPr="00363C37">
              <w:rPr>
                <w:rFonts w:cstheme="minorHAnsi"/>
                <w:lang w:val="en-GB"/>
              </w:rPr>
              <w:t>National legislation criminalises some SEC offences: Section 376B of the Penal Code makes it a criminal offence to have commercial sex with a minor who is under 18 years of age.</w:t>
            </w:r>
          </w:p>
          <w:p w14:paraId="43FE1AB7" w14:textId="77777777" w:rsidR="00363C37" w:rsidRPr="00363C37" w:rsidRDefault="00363C37" w:rsidP="00363C37">
            <w:pPr>
              <w:rPr>
                <w:rFonts w:cstheme="minorHAnsi"/>
                <w:lang w:val="en-GB"/>
              </w:rPr>
            </w:pPr>
            <w:r w:rsidRPr="00363C37">
              <w:rPr>
                <w:rFonts w:cstheme="minorHAnsi"/>
                <w:lang w:val="en-GB"/>
              </w:rPr>
              <w:lastRenderedPageBreak/>
              <w:t xml:space="preserve">Sections 372-373 of the Penal Code punish, with imprisonment for up to 10 years, the selling, buying, </w:t>
            </w:r>
            <w:proofErr w:type="gramStart"/>
            <w:r w:rsidRPr="00363C37">
              <w:rPr>
                <w:rFonts w:cstheme="minorHAnsi"/>
                <w:lang w:val="en-GB"/>
              </w:rPr>
              <w:t>hiring</w:t>
            </w:r>
            <w:proofErr w:type="gramEnd"/>
            <w:r w:rsidRPr="00363C37">
              <w:rPr>
                <w:rFonts w:cstheme="minorHAnsi"/>
                <w:lang w:val="en-GB"/>
              </w:rPr>
              <w:t xml:space="preserve"> or obtaining possession of a female under the age of 21 for the purposes of prostitution. However, the same protection is not extended to males.</w:t>
            </w:r>
          </w:p>
          <w:p w14:paraId="0653B4F4" w14:textId="77777777" w:rsidR="00363C37" w:rsidRPr="00363C37" w:rsidRDefault="00363C37" w:rsidP="00363C37">
            <w:pPr>
              <w:rPr>
                <w:rFonts w:cstheme="minorHAnsi"/>
                <w:lang w:val="en-GB"/>
              </w:rPr>
            </w:pPr>
            <w:r w:rsidRPr="00363C37">
              <w:rPr>
                <w:rFonts w:cstheme="minorHAnsi"/>
                <w:lang w:val="en-GB"/>
              </w:rPr>
              <w:t>Section 32 of the Films Act describes offences involving children and young persons. It states that any person who causes or procures any child or young person to commit any offence mentioned in Sections 29, 30 or 31 (concerning obscene films) shall be guilty of an offence and shall be liable on conviction for a fine of S$80,000 or 12-monthimprisonment, or both.</w:t>
            </w:r>
          </w:p>
          <w:p w14:paraId="7E0D7BD3" w14:textId="54519948" w:rsidR="00363C37" w:rsidRPr="00C27050" w:rsidRDefault="00363C37" w:rsidP="00363C37">
            <w:pPr>
              <w:rPr>
                <w:rFonts w:cstheme="minorHAnsi"/>
                <w:lang w:val="en-GB"/>
              </w:rPr>
            </w:pPr>
            <w:r w:rsidRPr="00363C37">
              <w:rPr>
                <w:rFonts w:cstheme="minorHAnsi"/>
                <w:lang w:val="en-GB"/>
              </w:rPr>
              <w:t>Section 2 of the Prevention of Human Trafficking Act 2014 defines a “child” as “an individual below the age of 18 years”.</w:t>
            </w:r>
          </w:p>
        </w:tc>
      </w:tr>
      <w:tr w:rsidR="00363C37" w:rsidRPr="001032A9" w14:paraId="7B8065FB" w14:textId="77777777" w:rsidTr="00A21390">
        <w:trPr>
          <w:trHeight w:val="1040"/>
        </w:trPr>
        <w:tc>
          <w:tcPr>
            <w:tcW w:w="425" w:type="dxa"/>
          </w:tcPr>
          <w:p w14:paraId="4AB4824F" w14:textId="77777777" w:rsidR="00363C37" w:rsidRPr="001032A9" w:rsidRDefault="00363C37" w:rsidP="00363C37">
            <w:pPr>
              <w:pStyle w:val="Paragrafoelenco"/>
              <w:numPr>
                <w:ilvl w:val="0"/>
                <w:numId w:val="2"/>
              </w:numPr>
              <w:spacing w:line="240" w:lineRule="auto"/>
              <w:rPr>
                <w:rFonts w:asciiTheme="minorHAnsi" w:hAnsiTheme="minorHAnsi" w:cstheme="minorHAnsi"/>
                <w:lang w:val="en-GB"/>
              </w:rPr>
            </w:pPr>
          </w:p>
        </w:tc>
        <w:tc>
          <w:tcPr>
            <w:tcW w:w="5529" w:type="dxa"/>
          </w:tcPr>
          <w:p w14:paraId="09F7EBF7" w14:textId="77777777" w:rsidR="00363C37" w:rsidRPr="001032A9" w:rsidRDefault="00363C37" w:rsidP="00363C37">
            <w:pPr>
              <w:rPr>
                <w:rFonts w:cstheme="minorHAnsi"/>
                <w:lang w:val="en-GB"/>
              </w:rPr>
            </w:pPr>
            <w:r w:rsidRPr="001032A9">
              <w:rPr>
                <w:rFonts w:eastAsia="Calibri" w:cstheme="minorHAnsi"/>
              </w:rPr>
              <w:t xml:space="preserve">Ensure that the </w:t>
            </w:r>
            <w:r w:rsidRPr="001032A9">
              <w:rPr>
                <w:rFonts w:eastAsia="Calibri" w:cstheme="minorHAnsi"/>
                <w:b/>
              </w:rPr>
              <w:t>age of sexual consent</w:t>
            </w:r>
            <w:r w:rsidRPr="001032A9">
              <w:rPr>
                <w:rFonts w:eastAsia="Calibri" w:cstheme="minorHAnsi"/>
              </w:rPr>
              <w:t xml:space="preserve"> for both males and females is 18 and a close in age exemption (up to 3 years) is provided for consensual sexual relationships between adolescents </w:t>
            </w:r>
            <w:proofErr w:type="gramStart"/>
            <w:r w:rsidRPr="001032A9">
              <w:rPr>
                <w:rFonts w:eastAsia="Calibri" w:cstheme="minorHAnsi"/>
              </w:rPr>
              <w:t>in order to</w:t>
            </w:r>
            <w:proofErr w:type="gramEnd"/>
            <w:r w:rsidRPr="001032A9">
              <w:rPr>
                <w:rFonts w:eastAsia="Calibri" w:cstheme="minorHAnsi"/>
              </w:rPr>
              <w:t xml:space="preserve"> allow voluntary, well-informed and mutual sexual contact between close in age peers and to prevent criminalization of young people in willing sexual relationships.</w:t>
            </w:r>
          </w:p>
        </w:tc>
        <w:tc>
          <w:tcPr>
            <w:tcW w:w="1701" w:type="dxa"/>
          </w:tcPr>
          <w:p w14:paraId="07241F5A" w14:textId="77777777"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 xml:space="preserve"> No</w:t>
            </w:r>
          </w:p>
        </w:tc>
        <w:tc>
          <w:tcPr>
            <w:tcW w:w="6520" w:type="dxa"/>
          </w:tcPr>
          <w:p w14:paraId="07484B60" w14:textId="3936F0DF" w:rsidR="00363C37" w:rsidRPr="001032A9" w:rsidRDefault="00363C37" w:rsidP="00363C37">
            <w:pPr>
              <w:rPr>
                <w:rFonts w:cstheme="minorHAnsi"/>
                <w:lang w:val="en-GB"/>
              </w:rPr>
            </w:pPr>
          </w:p>
        </w:tc>
      </w:tr>
      <w:tr w:rsidR="00363C37" w:rsidRPr="001032A9" w14:paraId="4C780032" w14:textId="77777777" w:rsidTr="00A21390">
        <w:trPr>
          <w:trHeight w:val="539"/>
        </w:trPr>
        <w:tc>
          <w:tcPr>
            <w:tcW w:w="425" w:type="dxa"/>
          </w:tcPr>
          <w:p w14:paraId="07D552A9"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1DD0D644" w14:textId="77777777" w:rsidR="00363C37" w:rsidRPr="001032A9" w:rsidRDefault="00363C37" w:rsidP="00363C37">
            <w:pPr>
              <w:rPr>
                <w:rFonts w:cstheme="minorHAnsi"/>
                <w:lang w:val="en-GB"/>
              </w:rPr>
            </w:pPr>
            <w:r w:rsidRPr="001032A9">
              <w:rPr>
                <w:rFonts w:eastAsia="Calibri" w:cstheme="minorHAnsi"/>
              </w:rPr>
              <w:t xml:space="preserve">Have a law or regulation establishing a </w:t>
            </w:r>
            <w:r w:rsidRPr="001032A9">
              <w:rPr>
                <w:rFonts w:eastAsia="Calibri" w:cstheme="minorHAnsi"/>
                <w:b/>
              </w:rPr>
              <w:t>mechanism for centrally registering sex offenders</w:t>
            </w:r>
            <w:r w:rsidRPr="001032A9">
              <w:rPr>
                <w:rFonts w:eastAsia="Calibri" w:cstheme="minorHAnsi"/>
              </w:rPr>
              <w:t xml:space="preserve"> that has been implemented/setup.</w:t>
            </w:r>
          </w:p>
        </w:tc>
        <w:tc>
          <w:tcPr>
            <w:tcW w:w="1701" w:type="dxa"/>
          </w:tcPr>
          <w:p w14:paraId="6FB8C35F" w14:textId="77777777"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17B316A2" w14:textId="4DDF95BF" w:rsidR="00363C37" w:rsidRPr="001032A9" w:rsidRDefault="00363C37" w:rsidP="00363C37">
            <w:pPr>
              <w:jc w:val="both"/>
              <w:rPr>
                <w:rFonts w:cstheme="minorHAnsi"/>
                <w:lang w:val="en-GB"/>
              </w:rPr>
            </w:pPr>
            <w:r w:rsidRPr="00363C37">
              <w:rPr>
                <w:rFonts w:cstheme="minorHAnsi"/>
                <w:lang w:val="en-GB"/>
              </w:rPr>
              <w:t xml:space="preserve">No sex offender registry. </w:t>
            </w:r>
          </w:p>
        </w:tc>
      </w:tr>
      <w:tr w:rsidR="00363C37" w:rsidRPr="001032A9" w14:paraId="3E531206" w14:textId="77777777" w:rsidTr="00A21390">
        <w:trPr>
          <w:trHeight w:val="920"/>
        </w:trPr>
        <w:tc>
          <w:tcPr>
            <w:tcW w:w="425" w:type="dxa"/>
          </w:tcPr>
          <w:p w14:paraId="32AC529C"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17E9F959" w14:textId="77777777" w:rsidR="00363C37" w:rsidRPr="001032A9" w:rsidRDefault="00363C37" w:rsidP="00363C37">
            <w:pPr>
              <w:spacing w:after="160"/>
              <w:rPr>
                <w:rFonts w:cstheme="minorHAnsi"/>
                <w:lang w:val="en-GB"/>
              </w:rPr>
            </w:pPr>
            <w:r w:rsidRPr="001032A9">
              <w:rPr>
                <w:rFonts w:eastAsia="Calibri" w:cstheme="minorHAnsi"/>
              </w:rPr>
              <w:t xml:space="preserve">Establish </w:t>
            </w:r>
            <w:r w:rsidRPr="001032A9">
              <w:rPr>
                <w:rFonts w:eastAsia="Calibri" w:cstheme="minorHAnsi"/>
                <w:b/>
              </w:rPr>
              <w:t>bail conditions</w:t>
            </w:r>
            <w:r w:rsidRPr="001032A9">
              <w:rPr>
                <w:rFonts w:eastAsia="Calibri" w:cstheme="minorHAnsi"/>
              </w:rPr>
              <w:t xml:space="preserve"> that prohibit individual accused of sexual offences against children from traveling outside of the country.</w:t>
            </w:r>
          </w:p>
        </w:tc>
        <w:tc>
          <w:tcPr>
            <w:tcW w:w="1701" w:type="dxa"/>
          </w:tcPr>
          <w:p w14:paraId="060F9A89" w14:textId="5736A244" w:rsidR="00363C37" w:rsidRPr="001032A9" w:rsidRDefault="00363C37" w:rsidP="00363C37">
            <w:pPr>
              <w:rPr>
                <w:rFonts w:cstheme="minorHAnsi"/>
                <w:bCs/>
                <w:color w:val="000000" w:themeColor="text1"/>
                <w:lang w:val="en-GB"/>
              </w:rPr>
            </w:pPr>
            <w:r>
              <w:rPr>
                <w:rFonts w:cstheme="minorHAnsi"/>
                <w:bCs/>
                <w:color w:val="000000" w:themeColor="text1"/>
                <w:lang w:val="en-GB"/>
              </w:rPr>
              <w:t>No</w:t>
            </w:r>
          </w:p>
        </w:tc>
        <w:tc>
          <w:tcPr>
            <w:tcW w:w="6520" w:type="dxa"/>
          </w:tcPr>
          <w:p w14:paraId="0CD7653A" w14:textId="65FBF494" w:rsidR="00363C37" w:rsidRPr="00C14F91" w:rsidRDefault="00363C37" w:rsidP="00363C37">
            <w:pPr>
              <w:rPr>
                <w:rFonts w:cstheme="minorHAnsi"/>
              </w:rPr>
            </w:pPr>
          </w:p>
        </w:tc>
      </w:tr>
      <w:tr w:rsidR="00363C37" w:rsidRPr="001032A9" w14:paraId="7A7B6F02" w14:textId="77777777" w:rsidTr="00A21390">
        <w:trPr>
          <w:trHeight w:val="640"/>
        </w:trPr>
        <w:tc>
          <w:tcPr>
            <w:tcW w:w="425" w:type="dxa"/>
          </w:tcPr>
          <w:p w14:paraId="13E7539D"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2C7F62F0" w14:textId="77777777" w:rsidR="00363C37" w:rsidRPr="001032A9" w:rsidRDefault="00363C37" w:rsidP="00363C37">
            <w:pPr>
              <w:spacing w:after="160"/>
              <w:rPr>
                <w:rFonts w:cstheme="minorHAnsi"/>
                <w:lang w:val="en-GB"/>
              </w:rPr>
            </w:pPr>
            <w:r w:rsidRPr="001032A9">
              <w:rPr>
                <w:rFonts w:eastAsia="Calibri" w:cstheme="minorHAnsi"/>
              </w:rPr>
              <w:t xml:space="preserve">Provide in law that the </w:t>
            </w:r>
            <w:r w:rsidRPr="001032A9">
              <w:rPr>
                <w:rFonts w:eastAsia="Calibri" w:cstheme="minorHAnsi"/>
                <w:b/>
              </w:rPr>
              <w:t>mere attempt</w:t>
            </w:r>
            <w:r w:rsidRPr="001032A9">
              <w:rPr>
                <w:rFonts w:eastAsia="Calibri" w:cstheme="minorHAnsi"/>
              </w:rPr>
              <w:t xml:space="preserve"> to commit a crime of sexual exploitation of children is </w:t>
            </w:r>
            <w:proofErr w:type="spellStart"/>
            <w:r w:rsidRPr="001032A9">
              <w:rPr>
                <w:rFonts w:eastAsia="Calibri" w:cstheme="minorHAnsi"/>
              </w:rPr>
              <w:t>criminalised</w:t>
            </w:r>
            <w:proofErr w:type="spellEnd"/>
            <w:r w:rsidRPr="001032A9">
              <w:rPr>
                <w:rFonts w:eastAsia="Calibri" w:cstheme="minorHAnsi"/>
              </w:rPr>
              <w:t>.</w:t>
            </w:r>
          </w:p>
        </w:tc>
        <w:tc>
          <w:tcPr>
            <w:tcW w:w="1701" w:type="dxa"/>
          </w:tcPr>
          <w:p w14:paraId="2E034DCE" w14:textId="7A6F267C" w:rsidR="00363C37" w:rsidRPr="001032A9" w:rsidRDefault="00CD2784" w:rsidP="00363C37">
            <w:pPr>
              <w:rPr>
                <w:rFonts w:cstheme="minorHAnsi"/>
                <w:bCs/>
                <w:color w:val="000000" w:themeColor="text1"/>
                <w:lang w:val="en-GB"/>
              </w:rPr>
            </w:pPr>
            <w:r>
              <w:rPr>
                <w:rFonts w:cstheme="minorHAnsi"/>
                <w:bCs/>
                <w:color w:val="000000" w:themeColor="text1"/>
                <w:lang w:val="en-GB"/>
              </w:rPr>
              <w:t>?</w:t>
            </w:r>
          </w:p>
        </w:tc>
        <w:tc>
          <w:tcPr>
            <w:tcW w:w="6520" w:type="dxa"/>
          </w:tcPr>
          <w:p w14:paraId="5CCD4B3D" w14:textId="473FF591" w:rsidR="00363C37" w:rsidRPr="001032A9" w:rsidRDefault="00363C37" w:rsidP="00363C37">
            <w:pPr>
              <w:rPr>
                <w:rFonts w:cstheme="minorHAnsi"/>
              </w:rPr>
            </w:pPr>
            <w:r w:rsidRPr="001032A9">
              <w:rPr>
                <w:rFonts w:cstheme="minorHAnsi"/>
              </w:rPr>
              <w:br/>
            </w:r>
          </w:p>
          <w:p w14:paraId="4FCCAFA7" w14:textId="4ACC50DB" w:rsidR="00363C37" w:rsidRPr="001032A9" w:rsidRDefault="00363C37" w:rsidP="00363C37">
            <w:pPr>
              <w:rPr>
                <w:rFonts w:cstheme="minorHAnsi"/>
                <w:lang w:val="en-GB"/>
              </w:rPr>
            </w:pPr>
          </w:p>
        </w:tc>
      </w:tr>
      <w:tr w:rsidR="00363C37" w:rsidRPr="001032A9" w14:paraId="41F5E5B0" w14:textId="77777777" w:rsidTr="00A21390">
        <w:trPr>
          <w:trHeight w:val="144"/>
        </w:trPr>
        <w:tc>
          <w:tcPr>
            <w:tcW w:w="425" w:type="dxa"/>
          </w:tcPr>
          <w:p w14:paraId="6C5E9BA8" w14:textId="77777777" w:rsidR="00363C37" w:rsidRPr="001032A9" w:rsidRDefault="00363C37" w:rsidP="00363C37">
            <w:pPr>
              <w:pStyle w:val="Paragrafoelenco"/>
              <w:numPr>
                <w:ilvl w:val="0"/>
                <w:numId w:val="2"/>
              </w:numPr>
              <w:spacing w:line="240" w:lineRule="auto"/>
              <w:rPr>
                <w:rFonts w:asciiTheme="minorHAnsi" w:hAnsiTheme="minorHAnsi" w:cstheme="minorHAnsi"/>
                <w:lang w:val="en-GB"/>
              </w:rPr>
            </w:pPr>
          </w:p>
        </w:tc>
        <w:tc>
          <w:tcPr>
            <w:tcW w:w="5529" w:type="dxa"/>
          </w:tcPr>
          <w:p w14:paraId="048666A8" w14:textId="532688F8" w:rsidR="00363C37" w:rsidRPr="001032A9" w:rsidRDefault="00363C37" w:rsidP="00363C37">
            <w:pPr>
              <w:rPr>
                <w:rFonts w:cstheme="minorHAnsi"/>
                <w:lang w:val="en-GB"/>
              </w:rPr>
            </w:pPr>
            <w:r w:rsidRPr="001032A9">
              <w:rPr>
                <w:rFonts w:eastAsia="Calibri" w:cstheme="minorHAnsi"/>
              </w:rPr>
              <w:t xml:space="preserve">Impose more severe sentences for </w:t>
            </w:r>
            <w:r w:rsidRPr="001032A9">
              <w:rPr>
                <w:rFonts w:eastAsia="Calibri" w:cstheme="minorHAnsi"/>
                <w:b/>
              </w:rPr>
              <w:t>reoffending</w:t>
            </w:r>
            <w:r w:rsidRPr="001032A9">
              <w:rPr>
                <w:rFonts w:eastAsia="Calibri" w:cstheme="minorHAnsi"/>
              </w:rPr>
              <w:t xml:space="preserve"> in case of sexual exploitation against children, e.g., by defining reoffending as an aggravating circumstance, regardless of whether the crimes were perpetrated abroad or in-country.</w:t>
            </w:r>
          </w:p>
        </w:tc>
        <w:tc>
          <w:tcPr>
            <w:tcW w:w="1701" w:type="dxa"/>
          </w:tcPr>
          <w:p w14:paraId="331D00CA" w14:textId="77777777"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 xml:space="preserve">Yes </w:t>
            </w:r>
          </w:p>
        </w:tc>
        <w:tc>
          <w:tcPr>
            <w:tcW w:w="6520" w:type="dxa"/>
          </w:tcPr>
          <w:p w14:paraId="09552331" w14:textId="77777777" w:rsidR="00CD2784" w:rsidRPr="00CD2784" w:rsidRDefault="00CD2784" w:rsidP="00CD2784">
            <w:pPr>
              <w:rPr>
                <w:rFonts w:eastAsia="Times New Roman" w:cstheme="minorHAnsi"/>
                <w:lang w:val="en-GB"/>
              </w:rPr>
            </w:pPr>
            <w:r w:rsidRPr="00CD2784">
              <w:rPr>
                <w:rFonts w:eastAsia="Times New Roman" w:cstheme="minorHAnsi"/>
                <w:lang w:val="en-GB"/>
              </w:rPr>
              <w:t>Children and Young Persons Act, Article 7 concerns the sexual exploitation of children and young persons and increase the sentencing to a fine not exceeding $20,000 or to imprisonment for a term not exceeding 7 years or to both when it is a second or subsequent case of obscene or indecent act.</w:t>
            </w:r>
          </w:p>
          <w:p w14:paraId="2233C43A" w14:textId="77777777" w:rsidR="00CD2784" w:rsidRPr="00CD2784" w:rsidRDefault="00CD2784" w:rsidP="00CD2784">
            <w:pPr>
              <w:rPr>
                <w:rFonts w:eastAsia="Times New Roman" w:cstheme="minorHAnsi"/>
                <w:lang w:val="en-GB"/>
              </w:rPr>
            </w:pPr>
          </w:p>
          <w:p w14:paraId="36FBAC1A" w14:textId="77777777" w:rsidR="00CD2784" w:rsidRPr="00CD2784" w:rsidRDefault="00CD2784" w:rsidP="00CD2784">
            <w:pPr>
              <w:rPr>
                <w:rFonts w:eastAsia="Times New Roman" w:cstheme="minorHAnsi"/>
                <w:lang w:val="en-GB"/>
              </w:rPr>
            </w:pPr>
            <w:r w:rsidRPr="00CD2784">
              <w:rPr>
                <w:rFonts w:eastAsia="Times New Roman" w:cstheme="minorHAnsi"/>
                <w:lang w:val="en-GB"/>
              </w:rPr>
              <w:t>Under Section 4 of the Prevention of Human Trafficking Act 2014, for second or subsequent offences, a person is liable to be punished with a fine up to $150,000, imprisonment for a term up to 15 years and caning not exceeding 9 strokes.</w:t>
            </w:r>
          </w:p>
          <w:p w14:paraId="6BBCB843" w14:textId="700642C6" w:rsidR="00363C37" w:rsidRPr="001032A9" w:rsidRDefault="00CD2784" w:rsidP="00CD2784">
            <w:pPr>
              <w:ind w:left="314"/>
              <w:rPr>
                <w:rFonts w:cstheme="minorHAnsi"/>
                <w:lang w:val="en-GB"/>
              </w:rPr>
            </w:pPr>
            <w:r w:rsidRPr="00CD2784">
              <w:rPr>
                <w:rFonts w:eastAsia="Times New Roman" w:cstheme="minorHAnsi"/>
                <w:lang w:val="en-GB"/>
              </w:rPr>
              <w:t>In addition, trafficking in children is considered an aggravating factor in accordance with Section 4(2)(c) of the Prevention of Human Trafficking Act 2014.</w:t>
            </w:r>
          </w:p>
        </w:tc>
      </w:tr>
      <w:tr w:rsidR="00363C37" w:rsidRPr="001032A9" w14:paraId="43352AFA" w14:textId="77777777" w:rsidTr="00A21390">
        <w:trPr>
          <w:trHeight w:val="864"/>
        </w:trPr>
        <w:tc>
          <w:tcPr>
            <w:tcW w:w="425" w:type="dxa"/>
          </w:tcPr>
          <w:p w14:paraId="11797AD0" w14:textId="77777777" w:rsidR="00363C37" w:rsidRPr="001032A9" w:rsidRDefault="00363C37" w:rsidP="00363C37">
            <w:pPr>
              <w:pStyle w:val="Paragrafoelenco"/>
              <w:numPr>
                <w:ilvl w:val="0"/>
                <w:numId w:val="2"/>
              </w:numPr>
              <w:spacing w:after="160" w:line="240" w:lineRule="auto"/>
              <w:rPr>
                <w:rFonts w:asciiTheme="minorHAnsi" w:hAnsiTheme="minorHAnsi" w:cstheme="minorHAnsi"/>
                <w:lang w:val="en-GB"/>
              </w:rPr>
            </w:pPr>
          </w:p>
        </w:tc>
        <w:tc>
          <w:tcPr>
            <w:tcW w:w="5529" w:type="dxa"/>
          </w:tcPr>
          <w:p w14:paraId="7C694A49" w14:textId="77777777" w:rsidR="00363C37" w:rsidRPr="001032A9" w:rsidRDefault="00363C37" w:rsidP="00363C37">
            <w:pPr>
              <w:spacing w:after="160"/>
              <w:rPr>
                <w:rFonts w:cstheme="minorHAnsi"/>
                <w:lang w:val="en-GB"/>
              </w:rPr>
            </w:pPr>
            <w:r w:rsidRPr="001032A9">
              <w:rPr>
                <w:rFonts w:eastAsia="Calibri" w:cstheme="minorHAnsi"/>
              </w:rPr>
              <w:t xml:space="preserve">Provide for </w:t>
            </w:r>
            <w:r w:rsidRPr="001032A9">
              <w:rPr>
                <w:rFonts w:eastAsia="Calibri" w:cstheme="minorHAnsi"/>
                <w:b/>
              </w:rPr>
              <w:t>mandatory reporting</w:t>
            </w:r>
            <w:r w:rsidRPr="001032A9">
              <w:rPr>
                <w:rFonts w:eastAsia="Calibri" w:cstheme="minorHAnsi"/>
              </w:rPr>
              <w:t xml:space="preserve"> for </w:t>
            </w:r>
            <w:proofErr w:type="gramStart"/>
            <w:r w:rsidRPr="001032A9">
              <w:rPr>
                <w:rFonts w:eastAsia="Calibri" w:cstheme="minorHAnsi"/>
              </w:rPr>
              <w:t>particular professions</w:t>
            </w:r>
            <w:proofErr w:type="gramEnd"/>
            <w:r w:rsidRPr="001032A9">
              <w:rPr>
                <w:rFonts w:eastAsia="Calibri" w:cstheme="minorHAnsi"/>
              </w:rPr>
              <w:t xml:space="preserve"> that have likelihood to have contact with kids who might disclose.</w:t>
            </w:r>
          </w:p>
        </w:tc>
        <w:tc>
          <w:tcPr>
            <w:tcW w:w="1701" w:type="dxa"/>
          </w:tcPr>
          <w:p w14:paraId="6E53D2B8" w14:textId="264E7349"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00075733" w14:textId="2286E28B" w:rsidR="00CD2784" w:rsidRPr="00CD2784" w:rsidRDefault="00CD2784" w:rsidP="00CD2784">
            <w:pPr>
              <w:rPr>
                <w:rFonts w:eastAsia="Times New Roman" w:cstheme="minorHAnsi"/>
                <w:lang w:val="en-GB"/>
              </w:rPr>
            </w:pPr>
            <w:r w:rsidRPr="00CD2784">
              <w:rPr>
                <w:rFonts w:eastAsia="Times New Roman" w:cstheme="minorHAnsi"/>
                <w:lang w:val="en-GB"/>
              </w:rPr>
              <w:t xml:space="preserve">The following provision may provide partial protection. </w:t>
            </w:r>
            <w:r>
              <w:rPr>
                <w:rFonts w:eastAsia="Times New Roman" w:cstheme="minorHAnsi"/>
                <w:lang w:val="en-GB"/>
              </w:rPr>
              <w:t>However</w:t>
            </w:r>
            <w:r w:rsidRPr="00CD2784">
              <w:rPr>
                <w:rFonts w:eastAsia="Times New Roman" w:cstheme="minorHAnsi"/>
                <w:lang w:val="en-GB"/>
              </w:rPr>
              <w:t>, the Act does not provide for strong sanctions for non-compliance, the possibility of anonymous complaints, etc.</w:t>
            </w:r>
          </w:p>
          <w:p w14:paraId="34A8F82D" w14:textId="77777777" w:rsidR="00CD2784" w:rsidRPr="00CD2784" w:rsidRDefault="00CD2784" w:rsidP="00CD2784">
            <w:pPr>
              <w:rPr>
                <w:rFonts w:eastAsia="Times New Roman" w:cstheme="minorHAnsi"/>
                <w:lang w:val="en-GB"/>
              </w:rPr>
            </w:pPr>
            <w:r w:rsidRPr="00CD2784">
              <w:rPr>
                <w:rFonts w:eastAsia="Times New Roman" w:cstheme="minorHAnsi"/>
                <w:lang w:val="en-GB"/>
              </w:rPr>
              <w:t xml:space="preserve">Children and Young Persons Act </w:t>
            </w:r>
          </w:p>
          <w:p w14:paraId="2D417513" w14:textId="5145AD1C" w:rsidR="00363C37" w:rsidRPr="001032A9" w:rsidRDefault="00CD2784" w:rsidP="00CD2784">
            <w:pPr>
              <w:rPr>
                <w:rFonts w:cstheme="minorHAnsi"/>
                <w:highlight w:val="yellow"/>
                <w:lang w:val="en-GB"/>
              </w:rPr>
            </w:pPr>
            <w:r w:rsidRPr="00CD2784">
              <w:rPr>
                <w:rFonts w:eastAsia="Times New Roman" w:cstheme="minorHAnsi"/>
                <w:lang w:val="en-GB"/>
              </w:rPr>
              <w:t>Article 9A(2) requires that “the registered medical practitioner, psychologist or approved welfare officer conducting the assessment of the child or young person under subsection (1) believes on reasonable grounds that the child or young person is suffering from any physical or emotional injury or any injury to his health or development as a result of being ill-treated, the registered medical practitioner, psychologist or approved welfare officer shall immediately notify the Director, protector or police officer, as the case may be, who presented the child or young person for assessment.”</w:t>
            </w:r>
          </w:p>
        </w:tc>
      </w:tr>
      <w:tr w:rsidR="00363C37" w:rsidRPr="001032A9" w14:paraId="0809D4B3" w14:textId="77777777" w:rsidTr="00A21390">
        <w:trPr>
          <w:trHeight w:val="557"/>
        </w:trPr>
        <w:tc>
          <w:tcPr>
            <w:tcW w:w="425" w:type="dxa"/>
          </w:tcPr>
          <w:p w14:paraId="69BE80D3" w14:textId="77777777" w:rsidR="00363C37" w:rsidRPr="001032A9" w:rsidRDefault="00363C37" w:rsidP="00363C37">
            <w:pPr>
              <w:pStyle w:val="Paragrafoelenco"/>
              <w:numPr>
                <w:ilvl w:val="0"/>
                <w:numId w:val="2"/>
              </w:numPr>
              <w:spacing w:line="240" w:lineRule="auto"/>
              <w:rPr>
                <w:rFonts w:asciiTheme="minorHAnsi" w:hAnsiTheme="minorHAnsi" w:cstheme="minorHAnsi"/>
                <w:lang w:val="en-GB"/>
              </w:rPr>
            </w:pPr>
          </w:p>
        </w:tc>
        <w:tc>
          <w:tcPr>
            <w:tcW w:w="5529" w:type="dxa"/>
          </w:tcPr>
          <w:p w14:paraId="4C610DD8" w14:textId="77777777" w:rsidR="00363C37" w:rsidRPr="001032A9" w:rsidRDefault="00363C37" w:rsidP="00363C37">
            <w:pPr>
              <w:rPr>
                <w:rFonts w:cstheme="minorHAnsi"/>
                <w:lang w:val="en-GB"/>
              </w:rPr>
            </w:pPr>
            <w:r w:rsidRPr="001032A9">
              <w:rPr>
                <w:rFonts w:eastAsia="Calibri" w:cstheme="minorHAnsi"/>
              </w:rPr>
              <w:t xml:space="preserve">Establish obligatory government-regulated child protection standards for the tourism industry for example, attach responsibility to an appropriate regulatory authority and/or implement industry specific </w:t>
            </w:r>
            <w:r w:rsidRPr="001032A9">
              <w:rPr>
                <w:rFonts w:eastAsia="Calibri" w:cstheme="minorHAnsi"/>
                <w:b/>
              </w:rPr>
              <w:t>national codes for child protection</w:t>
            </w:r>
            <w:r w:rsidRPr="001032A9">
              <w:rPr>
                <w:rFonts w:eastAsia="Calibri" w:cstheme="minorHAnsi"/>
              </w:rPr>
              <w:t xml:space="preserve"> as a legal requirement for the travel and tourism industry to operate.</w:t>
            </w:r>
          </w:p>
        </w:tc>
        <w:tc>
          <w:tcPr>
            <w:tcW w:w="1701" w:type="dxa"/>
          </w:tcPr>
          <w:p w14:paraId="425D0696" w14:textId="27005251" w:rsidR="00363C37" w:rsidRPr="001032A9" w:rsidRDefault="00363C37" w:rsidP="00363C37">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471B05FD" w14:textId="77777777" w:rsidR="00363C37" w:rsidRPr="001032A9" w:rsidRDefault="00363C37" w:rsidP="00363C37">
            <w:pPr>
              <w:rPr>
                <w:rFonts w:cstheme="minorHAnsi"/>
                <w:lang w:val="en-GB"/>
              </w:rPr>
            </w:pPr>
          </w:p>
          <w:p w14:paraId="72C198A5" w14:textId="2AA9787C" w:rsidR="00363C37" w:rsidRPr="001032A9" w:rsidRDefault="00363C37" w:rsidP="00363C37">
            <w:pPr>
              <w:rPr>
                <w:rFonts w:cstheme="minorHAnsi"/>
                <w:lang w:val="en-GB"/>
              </w:rPr>
            </w:pPr>
          </w:p>
        </w:tc>
      </w:tr>
      <w:tr w:rsidR="00363C37" w:rsidRPr="001032A9" w14:paraId="4EA8B292" w14:textId="77777777" w:rsidTr="00A21390">
        <w:trPr>
          <w:trHeight w:val="432"/>
        </w:trPr>
        <w:tc>
          <w:tcPr>
            <w:tcW w:w="425" w:type="dxa"/>
          </w:tcPr>
          <w:p w14:paraId="7C319A16" w14:textId="77777777" w:rsidR="00363C37" w:rsidRPr="001032A9" w:rsidRDefault="00363C37" w:rsidP="00363C37">
            <w:pPr>
              <w:pStyle w:val="Paragrafoelenco"/>
              <w:numPr>
                <w:ilvl w:val="0"/>
                <w:numId w:val="2"/>
              </w:numPr>
              <w:spacing w:line="240" w:lineRule="auto"/>
              <w:rPr>
                <w:rFonts w:asciiTheme="minorHAnsi" w:hAnsiTheme="minorHAnsi" w:cstheme="minorHAnsi"/>
                <w:lang w:val="en-GB"/>
              </w:rPr>
            </w:pPr>
          </w:p>
        </w:tc>
        <w:tc>
          <w:tcPr>
            <w:tcW w:w="5529" w:type="dxa"/>
          </w:tcPr>
          <w:p w14:paraId="15F12DA3" w14:textId="77777777" w:rsidR="00363C37" w:rsidRPr="001032A9" w:rsidRDefault="00363C37" w:rsidP="00363C37">
            <w:pPr>
              <w:jc w:val="both"/>
              <w:rPr>
                <w:rFonts w:cstheme="minorHAnsi"/>
              </w:rPr>
            </w:pPr>
            <w:r w:rsidRPr="001032A9">
              <w:rPr>
                <w:rFonts w:cstheme="minorHAnsi"/>
              </w:rPr>
              <w:t xml:space="preserve">Ensure the </w:t>
            </w:r>
            <w:r w:rsidRPr="001032A9">
              <w:rPr>
                <w:rFonts w:cstheme="minorHAnsi"/>
                <w:b/>
              </w:rPr>
              <w:t>liability of travel and tourism businesses</w:t>
            </w:r>
            <w:r w:rsidRPr="001032A9">
              <w:rPr>
                <w:rFonts w:cstheme="minorHAnsi"/>
              </w:rPr>
              <w:t xml:space="preserve"> (in operations and supply chains) for criminal conduct including:</w:t>
            </w:r>
          </w:p>
          <w:p w14:paraId="60709291" w14:textId="77777777" w:rsidR="00363C37" w:rsidRPr="001032A9" w:rsidRDefault="00363C37" w:rsidP="00363C37">
            <w:pPr>
              <w:pStyle w:val="Paragrafoelenco"/>
              <w:numPr>
                <w:ilvl w:val="0"/>
                <w:numId w:val="5"/>
              </w:numPr>
              <w:spacing w:line="240" w:lineRule="auto"/>
              <w:jc w:val="both"/>
              <w:rPr>
                <w:rFonts w:asciiTheme="minorHAnsi" w:hAnsiTheme="minorHAnsi" w:cstheme="minorHAnsi"/>
              </w:rPr>
            </w:pPr>
            <w:proofErr w:type="spellStart"/>
            <w:r w:rsidRPr="001032A9">
              <w:rPr>
                <w:rFonts w:asciiTheme="minorHAnsi" w:hAnsiTheme="minorHAnsi" w:cstheme="minorHAnsi"/>
              </w:rPr>
              <w:t>Organising</w:t>
            </w:r>
            <w:proofErr w:type="spellEnd"/>
            <w:r w:rsidRPr="001032A9">
              <w:rPr>
                <w:rFonts w:asciiTheme="minorHAnsi" w:hAnsiTheme="minorHAnsi" w:cstheme="minorHAnsi"/>
              </w:rPr>
              <w:t xml:space="preserve"> travel arrangements or transportation that are explicitly or implicitly meant to create or </w:t>
            </w:r>
            <w:r w:rsidRPr="001032A9">
              <w:rPr>
                <w:rFonts w:asciiTheme="minorHAnsi" w:hAnsiTheme="minorHAnsi" w:cstheme="minorHAnsi"/>
              </w:rPr>
              <w:lastRenderedPageBreak/>
              <w:t>facilitate opportunities to engage (involve) children in sexual activities;</w:t>
            </w:r>
          </w:p>
          <w:p w14:paraId="59B3A209" w14:textId="77777777" w:rsidR="00363C37" w:rsidRPr="001032A9" w:rsidRDefault="00363C37" w:rsidP="00363C37">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 xml:space="preserve">Procuring, </w:t>
            </w:r>
            <w:proofErr w:type="gramStart"/>
            <w:r w:rsidRPr="001032A9">
              <w:rPr>
                <w:rFonts w:asciiTheme="minorHAnsi" w:hAnsiTheme="minorHAnsi" w:cstheme="minorHAnsi"/>
              </w:rPr>
              <w:t>aiding</w:t>
            </w:r>
            <w:proofErr w:type="gramEnd"/>
            <w:r w:rsidRPr="001032A9">
              <w:rPr>
                <w:rFonts w:asciiTheme="minorHAnsi" w:hAnsiTheme="minorHAnsi" w:cstheme="minorHAnsi"/>
              </w:rPr>
              <w:t xml:space="preserve"> or abetting the exploitative sexual conduct with a child;</w:t>
            </w:r>
          </w:p>
          <w:p w14:paraId="5B5C198C" w14:textId="77777777" w:rsidR="00363C37" w:rsidRPr="001032A9" w:rsidRDefault="00363C37" w:rsidP="00363C37">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Advertising or promoting sexual exploitation of children;</w:t>
            </w:r>
          </w:p>
          <w:p w14:paraId="774CE75F" w14:textId="77777777" w:rsidR="00363C37" w:rsidRPr="001032A9" w:rsidRDefault="00363C37" w:rsidP="00363C37">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Benefitting, by any means, from any form of sexual exploitation of a child (or children) in the context of their travel and tourism business.</w:t>
            </w:r>
          </w:p>
        </w:tc>
        <w:tc>
          <w:tcPr>
            <w:tcW w:w="1701" w:type="dxa"/>
          </w:tcPr>
          <w:p w14:paraId="5C552DB5" w14:textId="4CBD94E0" w:rsidR="00363C37" w:rsidRPr="001032A9" w:rsidRDefault="00CD2784" w:rsidP="00363C37">
            <w:pPr>
              <w:rPr>
                <w:rFonts w:cstheme="minorHAnsi"/>
                <w:bCs/>
                <w:color w:val="000000" w:themeColor="text1"/>
                <w:lang w:val="en-GB"/>
              </w:rPr>
            </w:pPr>
            <w:r>
              <w:rPr>
                <w:rFonts w:cstheme="minorHAnsi"/>
                <w:bCs/>
                <w:color w:val="000000" w:themeColor="text1"/>
                <w:lang w:val="en-GB"/>
              </w:rPr>
              <w:lastRenderedPageBreak/>
              <w:t>Yes</w:t>
            </w:r>
          </w:p>
        </w:tc>
        <w:tc>
          <w:tcPr>
            <w:tcW w:w="6520" w:type="dxa"/>
          </w:tcPr>
          <w:p w14:paraId="28A5803A" w14:textId="77777777" w:rsidR="00CD2784" w:rsidRPr="00CD2784" w:rsidRDefault="00CD2784" w:rsidP="00CD2784">
            <w:pPr>
              <w:rPr>
                <w:rFonts w:cstheme="minorHAnsi"/>
                <w:lang w:val="en-GB"/>
              </w:rPr>
            </w:pPr>
            <w:r w:rsidRPr="00CD2784">
              <w:rPr>
                <w:rFonts w:cstheme="minorHAnsi"/>
                <w:lang w:val="en-GB"/>
              </w:rPr>
              <w:t>In the cases of tour organised outside Singapore, the Penal Code has a specific provision.</w:t>
            </w:r>
          </w:p>
          <w:p w14:paraId="7034F4CE" w14:textId="06503639" w:rsidR="00CD2784" w:rsidRPr="00CD2784" w:rsidRDefault="00CD2784" w:rsidP="00CD2784">
            <w:pPr>
              <w:rPr>
                <w:rFonts w:cstheme="minorHAnsi"/>
                <w:lang w:val="en-GB"/>
              </w:rPr>
            </w:pPr>
            <w:r w:rsidRPr="00CD2784">
              <w:rPr>
                <w:rFonts w:cstheme="minorHAnsi"/>
                <w:lang w:val="en-GB"/>
              </w:rPr>
              <w:t>Article 376D.</w:t>
            </w:r>
            <w:r w:rsidR="00347DAB" w:rsidRPr="00CD2784">
              <w:rPr>
                <w:rFonts w:cstheme="minorHAnsi"/>
                <w:lang w:val="en-GB"/>
              </w:rPr>
              <w:t>— (</w:t>
            </w:r>
            <w:r w:rsidRPr="00CD2784">
              <w:rPr>
                <w:rFonts w:cstheme="minorHAnsi"/>
                <w:lang w:val="en-GB"/>
              </w:rPr>
              <w:t>1) Any person who —</w:t>
            </w:r>
          </w:p>
          <w:p w14:paraId="3AA06478" w14:textId="77777777" w:rsidR="00CD2784" w:rsidRPr="00CD2784" w:rsidRDefault="00CD2784" w:rsidP="00CD2784">
            <w:pPr>
              <w:rPr>
                <w:rFonts w:cstheme="minorHAnsi"/>
                <w:lang w:val="en-GB"/>
              </w:rPr>
            </w:pPr>
            <w:r w:rsidRPr="00CD2784">
              <w:rPr>
                <w:rFonts w:cstheme="minorHAnsi"/>
                <w:lang w:val="en-GB"/>
              </w:rPr>
              <w:t>(a)</w:t>
            </w:r>
            <w:r w:rsidRPr="00CD2784">
              <w:rPr>
                <w:rFonts w:cstheme="minorHAnsi"/>
                <w:lang w:val="en-GB"/>
              </w:rPr>
              <w:tab/>
              <w:t xml:space="preserve">makes or organises any travel arrangements for or on behalf of any other person with the intention of facilitating the commission </w:t>
            </w:r>
            <w:r w:rsidRPr="00CD2784">
              <w:rPr>
                <w:rFonts w:cstheme="minorHAnsi"/>
                <w:lang w:val="en-GB"/>
              </w:rPr>
              <w:lastRenderedPageBreak/>
              <w:t xml:space="preserve">by that other person of an offence under section 376C, </w:t>
            </w:r>
            <w:proofErr w:type="gramStart"/>
            <w:r w:rsidRPr="00CD2784">
              <w:rPr>
                <w:rFonts w:cstheme="minorHAnsi"/>
                <w:lang w:val="en-GB"/>
              </w:rPr>
              <w:t>whether or not</w:t>
            </w:r>
            <w:proofErr w:type="gramEnd"/>
            <w:r w:rsidRPr="00CD2784">
              <w:rPr>
                <w:rFonts w:cstheme="minorHAnsi"/>
                <w:lang w:val="en-GB"/>
              </w:rPr>
              <w:t xml:space="preserve"> such an offence is actually committed by that other person;</w:t>
            </w:r>
          </w:p>
          <w:p w14:paraId="363B1D25" w14:textId="77777777" w:rsidR="00CD2784" w:rsidRPr="00CD2784" w:rsidRDefault="00CD2784" w:rsidP="00CD2784">
            <w:pPr>
              <w:rPr>
                <w:rFonts w:cstheme="minorHAnsi"/>
                <w:lang w:val="en-GB"/>
              </w:rPr>
            </w:pPr>
            <w:r w:rsidRPr="00CD2784">
              <w:rPr>
                <w:rFonts w:cstheme="minorHAnsi"/>
                <w:lang w:val="en-GB"/>
              </w:rPr>
              <w:t>(b)</w:t>
            </w:r>
            <w:r w:rsidRPr="00CD2784">
              <w:rPr>
                <w:rFonts w:cstheme="minorHAnsi"/>
                <w:lang w:val="en-GB"/>
              </w:rPr>
              <w:tab/>
              <w:t>transports any other person to a place outside Singapore with the intention of facilitating the commission by that other person of an offence under section 376C, whether or not such an offence is actually committed by that other person; or</w:t>
            </w:r>
          </w:p>
          <w:p w14:paraId="14D9EE35" w14:textId="77777777" w:rsidR="00CD2784" w:rsidRPr="00CD2784" w:rsidRDefault="00CD2784" w:rsidP="00CD2784">
            <w:pPr>
              <w:rPr>
                <w:rFonts w:cstheme="minorHAnsi"/>
                <w:lang w:val="en-GB"/>
              </w:rPr>
            </w:pPr>
            <w:r w:rsidRPr="00CD2784">
              <w:rPr>
                <w:rFonts w:cstheme="minorHAnsi"/>
                <w:lang w:val="en-GB"/>
              </w:rPr>
              <w:t>(c)</w:t>
            </w:r>
            <w:r w:rsidRPr="00CD2784">
              <w:rPr>
                <w:rFonts w:cstheme="minorHAnsi"/>
                <w:lang w:val="en-GB"/>
              </w:rPr>
              <w:tab/>
              <w:t>prints, publishes or distributes any information that is intended to promote conduct that would constitute an offence under section 376C, or to assist any other person to engage in such conduct,</w:t>
            </w:r>
          </w:p>
          <w:p w14:paraId="079431F6" w14:textId="77777777" w:rsidR="00CD2784" w:rsidRPr="00CD2784" w:rsidRDefault="00CD2784" w:rsidP="00CD2784">
            <w:pPr>
              <w:rPr>
                <w:rFonts w:cstheme="minorHAnsi"/>
                <w:lang w:val="en-GB"/>
              </w:rPr>
            </w:pPr>
            <w:r w:rsidRPr="00CD2784">
              <w:rPr>
                <w:rFonts w:cstheme="minorHAnsi"/>
                <w:lang w:val="en-GB"/>
              </w:rPr>
              <w:t>shall be guilty of an offence.</w:t>
            </w:r>
          </w:p>
          <w:p w14:paraId="155DE862" w14:textId="5B4D6183" w:rsidR="00363C37" w:rsidRPr="001032A9" w:rsidRDefault="00CD2784" w:rsidP="00CD2784">
            <w:pPr>
              <w:rPr>
                <w:rFonts w:cstheme="minorHAnsi"/>
                <w:lang w:val="en-GB"/>
              </w:rPr>
            </w:pPr>
            <w:r w:rsidRPr="00CD2784">
              <w:rPr>
                <w:rFonts w:cstheme="minorHAnsi"/>
                <w:lang w:val="en-GB"/>
              </w:rPr>
              <w:t>Furthermore, Singaporean law does recognise corporate criminal liability.</w:t>
            </w:r>
          </w:p>
        </w:tc>
      </w:tr>
      <w:tr w:rsidR="00CD2784" w:rsidRPr="001032A9" w14:paraId="30AF292A" w14:textId="77777777" w:rsidTr="00A21390">
        <w:trPr>
          <w:trHeight w:val="720"/>
        </w:trPr>
        <w:tc>
          <w:tcPr>
            <w:tcW w:w="425" w:type="dxa"/>
          </w:tcPr>
          <w:p w14:paraId="38D76301" w14:textId="77777777" w:rsidR="00CD2784" w:rsidRPr="001032A9" w:rsidRDefault="00CD2784" w:rsidP="00CD2784">
            <w:pPr>
              <w:pStyle w:val="Paragrafoelenco"/>
              <w:numPr>
                <w:ilvl w:val="0"/>
                <w:numId w:val="2"/>
              </w:numPr>
              <w:spacing w:line="240" w:lineRule="auto"/>
              <w:rPr>
                <w:rFonts w:asciiTheme="minorHAnsi" w:hAnsiTheme="minorHAnsi" w:cstheme="minorHAnsi"/>
                <w:lang w:val="en-GB"/>
              </w:rPr>
            </w:pPr>
          </w:p>
        </w:tc>
        <w:tc>
          <w:tcPr>
            <w:tcW w:w="5529" w:type="dxa"/>
          </w:tcPr>
          <w:p w14:paraId="39FE00A5" w14:textId="2F22C00A" w:rsidR="00CD2784" w:rsidRPr="001032A9" w:rsidRDefault="00347DAB" w:rsidP="00CD2784">
            <w:pPr>
              <w:rPr>
                <w:rFonts w:cstheme="minorHAnsi"/>
                <w:lang w:val="en-GB"/>
              </w:rPr>
            </w:pPr>
            <w:r w:rsidRPr="001032A9">
              <w:rPr>
                <w:rFonts w:eastAsia="Calibri" w:cstheme="minorHAnsi"/>
              </w:rPr>
              <w:t>Criminalize</w:t>
            </w:r>
            <w:r w:rsidR="00CD2784" w:rsidRPr="001032A9">
              <w:rPr>
                <w:rFonts w:eastAsia="Calibri" w:cstheme="minorHAnsi"/>
              </w:rPr>
              <w:t xml:space="preserve"> the </w:t>
            </w:r>
            <w:r w:rsidR="00CD2784" w:rsidRPr="001032A9">
              <w:rPr>
                <w:rFonts w:eastAsia="Calibri" w:cstheme="minorHAnsi"/>
                <w:b/>
              </w:rPr>
              <w:t>grooming of children for sexual purposes</w:t>
            </w:r>
            <w:r w:rsidR="00CD2784" w:rsidRPr="001032A9">
              <w:rPr>
                <w:rFonts w:eastAsia="Calibri" w:cstheme="minorHAnsi"/>
              </w:rPr>
              <w:t xml:space="preserve"> (often called ‘solicitation’ in </w:t>
            </w:r>
            <w:proofErr w:type="gramStart"/>
            <w:r w:rsidR="00CD2784" w:rsidRPr="001032A9">
              <w:rPr>
                <w:rFonts w:eastAsia="Calibri" w:cstheme="minorHAnsi"/>
              </w:rPr>
              <w:t>law)  including</w:t>
            </w:r>
            <w:proofErr w:type="gramEnd"/>
            <w:r w:rsidR="00CD2784" w:rsidRPr="001032A9">
              <w:rPr>
                <w:rFonts w:eastAsia="Calibri" w:cstheme="minorHAnsi"/>
              </w:rPr>
              <w:t xml:space="preserve"> through Internet and other communication technologies to facilitate either online or offline sexual exploitation.</w:t>
            </w:r>
          </w:p>
        </w:tc>
        <w:tc>
          <w:tcPr>
            <w:tcW w:w="1701" w:type="dxa"/>
          </w:tcPr>
          <w:p w14:paraId="606B8744" w14:textId="7A197E3C" w:rsidR="00CD2784" w:rsidRPr="001032A9" w:rsidRDefault="00CD2784" w:rsidP="00CD2784">
            <w:pPr>
              <w:rPr>
                <w:rFonts w:cstheme="minorHAnsi"/>
                <w:bCs/>
                <w:color w:val="000000" w:themeColor="text1"/>
                <w:lang w:val="en-GB"/>
              </w:rPr>
            </w:pPr>
            <w:r>
              <w:rPr>
                <w:rFonts w:cstheme="minorHAnsi"/>
                <w:bCs/>
                <w:color w:val="000000" w:themeColor="text1"/>
                <w:lang w:val="en-GB"/>
              </w:rPr>
              <w:t>Partially</w:t>
            </w:r>
          </w:p>
        </w:tc>
        <w:tc>
          <w:tcPr>
            <w:tcW w:w="6520" w:type="dxa"/>
          </w:tcPr>
          <w:p w14:paraId="50824701" w14:textId="77777777" w:rsidR="00CD2784" w:rsidRPr="00CD2784" w:rsidRDefault="00CD2784" w:rsidP="00CD2784">
            <w:pPr>
              <w:rPr>
                <w:rFonts w:cstheme="minorHAnsi"/>
                <w:lang w:val="en-GB"/>
              </w:rPr>
            </w:pPr>
            <w:r w:rsidRPr="00CD2784">
              <w:rPr>
                <w:rFonts w:cstheme="minorHAnsi"/>
                <w:lang w:val="en-GB"/>
              </w:rPr>
              <w:t>Sexual grooming of minor under 16 by an individual above 21 is criminalised by the Penal Code:</w:t>
            </w:r>
            <w:r w:rsidRPr="00CD2784">
              <w:rPr>
                <w:rFonts w:cstheme="minorHAnsi"/>
                <w:lang w:val="en-GB"/>
              </w:rPr>
              <w:br/>
              <w:t>Article 376E.—(1) Any person of or above the age of 21 years (A) shall be guilty of an offence if having met or communicated with another person (B) on 2 or more previous occasions —</w:t>
            </w:r>
            <w:r w:rsidRPr="00CD2784">
              <w:rPr>
                <w:rFonts w:cstheme="minorHAnsi"/>
                <w:lang w:val="en-GB"/>
              </w:rPr>
              <w:br/>
              <w:t xml:space="preserve">  (a)</w:t>
            </w:r>
            <w:r w:rsidRPr="00CD2784">
              <w:rPr>
                <w:rFonts w:cstheme="minorHAnsi"/>
                <w:lang w:val="en-GB"/>
              </w:rPr>
              <w:tab/>
              <w:t>A intentionally meets B or travels with the intention of meeting B; and</w:t>
            </w:r>
            <w:r w:rsidRPr="00CD2784">
              <w:rPr>
                <w:rFonts w:cstheme="minorHAnsi"/>
                <w:lang w:val="en-GB"/>
              </w:rPr>
              <w:br/>
              <w:t xml:space="preserve">  (b)</w:t>
            </w:r>
            <w:r w:rsidRPr="00CD2784">
              <w:rPr>
                <w:rFonts w:cstheme="minorHAnsi"/>
                <w:lang w:val="en-GB"/>
              </w:rPr>
              <w:tab/>
              <w:t>at the time of the acts referred to in paragraph (a) —</w:t>
            </w:r>
            <w:r w:rsidRPr="00CD2784">
              <w:rPr>
                <w:rFonts w:cstheme="minorHAnsi"/>
                <w:lang w:val="en-GB"/>
              </w:rPr>
              <w:br/>
              <w:t>(</w:t>
            </w:r>
            <w:proofErr w:type="spellStart"/>
            <w:r w:rsidRPr="00CD2784">
              <w:rPr>
                <w:rFonts w:cstheme="minorHAnsi"/>
                <w:lang w:val="en-GB"/>
              </w:rPr>
              <w:t>i</w:t>
            </w:r>
            <w:proofErr w:type="spellEnd"/>
            <w:r w:rsidRPr="00CD2784">
              <w:rPr>
                <w:rFonts w:cstheme="minorHAnsi"/>
                <w:lang w:val="en-GB"/>
              </w:rPr>
              <w:t>)</w:t>
            </w:r>
            <w:r w:rsidRPr="00CD2784">
              <w:rPr>
                <w:rFonts w:cstheme="minorHAnsi"/>
                <w:lang w:val="en-GB"/>
              </w:rPr>
              <w:tab/>
              <w:t>A intends to do anything to or in respect of B, during or after the meeting, which if done will involve the commission by A of a relevant offence;</w:t>
            </w:r>
            <w:r w:rsidRPr="00CD2784">
              <w:rPr>
                <w:rFonts w:cstheme="minorHAnsi"/>
                <w:lang w:val="en-GB"/>
              </w:rPr>
              <w:br/>
              <w:t>(ii)</w:t>
            </w:r>
            <w:r w:rsidRPr="00CD2784">
              <w:rPr>
                <w:rFonts w:cstheme="minorHAnsi"/>
                <w:lang w:val="en-GB"/>
              </w:rPr>
              <w:tab/>
              <w:t>B is under 16 years of age; and</w:t>
            </w:r>
            <w:r w:rsidRPr="00CD2784">
              <w:rPr>
                <w:rFonts w:cstheme="minorHAnsi"/>
                <w:lang w:val="en-GB"/>
              </w:rPr>
              <w:br/>
              <w:t>(iii)</w:t>
            </w:r>
            <w:r w:rsidRPr="00CD2784">
              <w:rPr>
                <w:rFonts w:cstheme="minorHAnsi"/>
                <w:lang w:val="en-GB"/>
              </w:rPr>
              <w:tab/>
              <w:t>A does not reasonably believe that B is of or above the age of 16 years.</w:t>
            </w:r>
          </w:p>
          <w:p w14:paraId="183126EE" w14:textId="30EABFE4" w:rsidR="00CD2784" w:rsidRPr="001032A9" w:rsidRDefault="00CD2784" w:rsidP="00CD2784">
            <w:pPr>
              <w:rPr>
                <w:rFonts w:cstheme="minorHAnsi"/>
                <w:lang w:val="en-GB"/>
              </w:rPr>
            </w:pPr>
            <w:r w:rsidRPr="00CD2784">
              <w:rPr>
                <w:rFonts w:cstheme="minorHAnsi"/>
                <w:lang w:val="en-GB"/>
              </w:rPr>
              <w:t>No protection for children older than 16 years of age</w:t>
            </w:r>
            <w:r>
              <w:rPr>
                <w:rFonts w:asciiTheme="majorHAnsi" w:hAnsiTheme="majorHAnsi" w:cstheme="majorHAnsi"/>
                <w:lang w:val="en-GB"/>
              </w:rPr>
              <w:t>.</w:t>
            </w:r>
          </w:p>
        </w:tc>
      </w:tr>
      <w:tr w:rsidR="00CD2784" w:rsidRPr="001032A9" w14:paraId="0A518CF9" w14:textId="77777777" w:rsidTr="00A21390">
        <w:trPr>
          <w:trHeight w:val="576"/>
        </w:trPr>
        <w:tc>
          <w:tcPr>
            <w:tcW w:w="425" w:type="dxa"/>
          </w:tcPr>
          <w:p w14:paraId="4ACB0CA5" w14:textId="77777777" w:rsidR="00CD2784" w:rsidRPr="001032A9" w:rsidRDefault="00CD2784" w:rsidP="00CD2784">
            <w:pPr>
              <w:pStyle w:val="Paragrafoelenco"/>
              <w:numPr>
                <w:ilvl w:val="0"/>
                <w:numId w:val="2"/>
              </w:numPr>
              <w:spacing w:line="240" w:lineRule="auto"/>
              <w:rPr>
                <w:rFonts w:asciiTheme="minorHAnsi" w:hAnsiTheme="minorHAnsi" w:cstheme="minorHAnsi"/>
                <w:lang w:val="en-GB"/>
              </w:rPr>
            </w:pPr>
          </w:p>
        </w:tc>
        <w:tc>
          <w:tcPr>
            <w:tcW w:w="5529" w:type="dxa"/>
          </w:tcPr>
          <w:p w14:paraId="6AB0EE5B" w14:textId="77777777" w:rsidR="00CD2784" w:rsidRPr="001032A9" w:rsidRDefault="00CD2784" w:rsidP="00CD2784">
            <w:pPr>
              <w:rPr>
                <w:rFonts w:cstheme="minorHAnsi"/>
              </w:rPr>
            </w:pPr>
            <w:r w:rsidRPr="001032A9">
              <w:rPr>
                <w:rFonts w:eastAsia="Calibri" w:cstheme="minorHAnsi"/>
              </w:rPr>
              <w:t xml:space="preserve">Establish legislation requiring for a </w:t>
            </w:r>
            <w:r w:rsidRPr="001032A9">
              <w:rPr>
                <w:rFonts w:eastAsia="Calibri" w:cstheme="minorHAnsi"/>
                <w:b/>
              </w:rPr>
              <w:t>criminal background check</w:t>
            </w:r>
            <w:r w:rsidRPr="001032A9">
              <w:rPr>
                <w:rFonts w:eastAsia="Calibri" w:cstheme="minorHAns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701" w:type="dxa"/>
          </w:tcPr>
          <w:p w14:paraId="20B4FFCA" w14:textId="6035B05B" w:rsidR="00CD2784" w:rsidRPr="001032A9" w:rsidRDefault="00CD2784" w:rsidP="00CD2784">
            <w:pPr>
              <w:rPr>
                <w:rFonts w:cstheme="minorHAnsi"/>
                <w:bCs/>
                <w:color w:val="000000" w:themeColor="text1"/>
                <w:lang w:val="en-GB"/>
              </w:rPr>
            </w:pPr>
            <w:r>
              <w:rPr>
                <w:rFonts w:cstheme="minorHAnsi"/>
                <w:bCs/>
                <w:color w:val="000000" w:themeColor="text1"/>
                <w:lang w:val="en-GB"/>
              </w:rPr>
              <w:t>Partially</w:t>
            </w:r>
          </w:p>
        </w:tc>
        <w:tc>
          <w:tcPr>
            <w:tcW w:w="6520" w:type="dxa"/>
          </w:tcPr>
          <w:p w14:paraId="6A2436A7" w14:textId="0C6A25DE" w:rsidR="00CD2784" w:rsidRPr="001032A9" w:rsidRDefault="006509CB" w:rsidP="00CD2784">
            <w:pPr>
              <w:rPr>
                <w:rFonts w:cstheme="minorHAnsi"/>
                <w:lang w:val="en-GB"/>
              </w:rPr>
            </w:pPr>
            <w:r w:rsidRPr="00363C37">
              <w:rPr>
                <w:rFonts w:cstheme="minorHAnsi"/>
                <w:lang w:val="en-GB"/>
              </w:rPr>
              <w:t xml:space="preserve">“The Registration of Criminal Act allows the Police to maintain a non-public record of persons convicted of serious offences, including sexual offences. Agencies such as MOE and MSF work closely with the Police to screen prospective employees who are applying for jobs involving children. For example, MOE screens prospective employees for child care centres, kindergartens and schools with the Police. These processes ensure that persons who have committed serious </w:t>
            </w:r>
            <w:r w:rsidRPr="00363C37">
              <w:rPr>
                <w:rFonts w:cstheme="minorHAnsi"/>
                <w:lang w:val="en-GB"/>
              </w:rPr>
              <w:lastRenderedPageBreak/>
              <w:t xml:space="preserve">sexual crimes are not employed in sensitive positions which may put children at risk, but without publicly listing sex offenders which will add to the stigmatisation of these offenders and hinder rehabilitation and reintegration efforts.” (Source: Parliamentary Debates Singapore – Official Report, Vol. 94, No. 32, 6 February </w:t>
            </w:r>
            <w:proofErr w:type="gramStart"/>
            <w:r w:rsidRPr="00363C37">
              <w:rPr>
                <w:rFonts w:cstheme="minorHAnsi"/>
                <w:lang w:val="en-GB"/>
              </w:rPr>
              <w:t>2017,http://www.nas.gov.sg/archivesonline/data/pdfdoc/20170206008/OQ-6%20Feb%202017.pdf</w:t>
            </w:r>
            <w:proofErr w:type="gramEnd"/>
            <w:r w:rsidRPr="00363C37">
              <w:rPr>
                <w:rFonts w:cstheme="minorHAnsi"/>
                <w:lang w:val="en-GB"/>
              </w:rPr>
              <w:t>, p. 13)</w:t>
            </w:r>
          </w:p>
        </w:tc>
      </w:tr>
      <w:tr w:rsidR="00CD2784" w:rsidRPr="001032A9" w14:paraId="33B6D015" w14:textId="77777777" w:rsidTr="00A21390">
        <w:trPr>
          <w:trHeight w:val="576"/>
        </w:trPr>
        <w:tc>
          <w:tcPr>
            <w:tcW w:w="425" w:type="dxa"/>
          </w:tcPr>
          <w:p w14:paraId="7599D9F0" w14:textId="77777777" w:rsidR="00CD2784" w:rsidRPr="001032A9" w:rsidRDefault="00CD2784" w:rsidP="00CD2784">
            <w:pPr>
              <w:pStyle w:val="Paragrafoelenco"/>
              <w:numPr>
                <w:ilvl w:val="0"/>
                <w:numId w:val="2"/>
              </w:numPr>
              <w:spacing w:line="240" w:lineRule="auto"/>
              <w:rPr>
                <w:rFonts w:asciiTheme="minorHAnsi" w:hAnsiTheme="minorHAnsi" w:cstheme="minorHAnsi"/>
                <w:lang w:val="en-GB"/>
              </w:rPr>
            </w:pPr>
          </w:p>
        </w:tc>
        <w:tc>
          <w:tcPr>
            <w:tcW w:w="5529" w:type="dxa"/>
          </w:tcPr>
          <w:p w14:paraId="2A4AAFD8" w14:textId="77777777" w:rsidR="00CD2784" w:rsidRPr="001032A9" w:rsidRDefault="00CD2784" w:rsidP="00CD2784">
            <w:pPr>
              <w:rPr>
                <w:rFonts w:cstheme="minorHAnsi"/>
                <w:lang w:val="en-GB"/>
              </w:rPr>
            </w:pPr>
            <w:r w:rsidRPr="001032A9">
              <w:rPr>
                <w:rFonts w:eastAsia="Calibri" w:cstheme="minorHAnsi"/>
              </w:rPr>
              <w:t xml:space="preserve">Regulate and monitor the use of volunteers (including in </w:t>
            </w:r>
            <w:r w:rsidRPr="001032A9">
              <w:rPr>
                <w:rFonts w:eastAsia="Calibri" w:cstheme="minorHAnsi"/>
                <w:b/>
              </w:rPr>
              <w:t>‘voluntourism’</w:t>
            </w:r>
            <w:r w:rsidRPr="001032A9">
              <w:rPr>
                <w:rFonts w:eastAsia="Calibri" w:cstheme="minorHAnsi"/>
              </w:rPr>
              <w:t xml:space="preserve">) in settings and activities that involve direct contact with children, particularly prohibiting visits to orphanages/residential care settings in </w:t>
            </w:r>
            <w:proofErr w:type="spellStart"/>
            <w:r w:rsidRPr="001032A9">
              <w:rPr>
                <w:rFonts w:eastAsia="Calibri" w:cstheme="minorHAnsi"/>
              </w:rPr>
              <w:t>favour</w:t>
            </w:r>
            <w:proofErr w:type="spellEnd"/>
            <w:r w:rsidRPr="001032A9">
              <w:rPr>
                <w:rFonts w:eastAsia="Calibri" w:cstheme="minorHAnsi"/>
              </w:rPr>
              <w:t xml:space="preserve"> of redirecting the industry towards solutions that support community-based care.</w:t>
            </w:r>
          </w:p>
        </w:tc>
        <w:tc>
          <w:tcPr>
            <w:tcW w:w="1701" w:type="dxa"/>
          </w:tcPr>
          <w:p w14:paraId="0E48BB6D" w14:textId="77777777" w:rsidR="00CD2784" w:rsidRPr="001032A9" w:rsidRDefault="00CD2784" w:rsidP="00CD2784">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174B02CA" w14:textId="77777777" w:rsidR="00CD2784" w:rsidRPr="001032A9" w:rsidRDefault="00CD2784" w:rsidP="00CD2784">
            <w:pPr>
              <w:rPr>
                <w:rFonts w:cstheme="minorHAnsi"/>
                <w:lang w:val="en-GB"/>
              </w:rPr>
            </w:pPr>
          </w:p>
        </w:tc>
      </w:tr>
      <w:tr w:rsidR="00CD2784" w:rsidRPr="001032A9" w14:paraId="4A1A0F88" w14:textId="77777777" w:rsidTr="00A21390">
        <w:trPr>
          <w:trHeight w:val="2684"/>
        </w:trPr>
        <w:tc>
          <w:tcPr>
            <w:tcW w:w="425" w:type="dxa"/>
          </w:tcPr>
          <w:p w14:paraId="07598129" w14:textId="77777777" w:rsidR="00CD2784" w:rsidRPr="001032A9" w:rsidRDefault="00CD2784" w:rsidP="00CD2784">
            <w:pPr>
              <w:pStyle w:val="Paragrafoelenco"/>
              <w:numPr>
                <w:ilvl w:val="0"/>
                <w:numId w:val="2"/>
              </w:numPr>
              <w:spacing w:line="240" w:lineRule="auto"/>
              <w:rPr>
                <w:rFonts w:asciiTheme="minorHAnsi" w:hAnsiTheme="minorHAnsi" w:cstheme="minorHAnsi"/>
                <w:lang w:val="en-GB"/>
              </w:rPr>
            </w:pPr>
          </w:p>
        </w:tc>
        <w:tc>
          <w:tcPr>
            <w:tcW w:w="5529" w:type="dxa"/>
          </w:tcPr>
          <w:p w14:paraId="0FBCB8F8" w14:textId="77777777" w:rsidR="00CD2784" w:rsidRPr="001032A9" w:rsidRDefault="00CD2784" w:rsidP="00CD2784">
            <w:pPr>
              <w:rPr>
                <w:rFonts w:cstheme="minorHAnsi"/>
                <w:lang w:val="en-GB"/>
              </w:rPr>
            </w:pPr>
            <w:r w:rsidRPr="001032A9">
              <w:rPr>
                <w:rFonts w:eastAsia="Calibri" w:cstheme="minorHAnsi"/>
              </w:rPr>
              <w:t xml:space="preserve">Ratify and implement relevant </w:t>
            </w:r>
            <w:r w:rsidRPr="001032A9">
              <w:rPr>
                <w:rFonts w:eastAsia="Calibri" w:cstheme="minorHAnsi"/>
                <w:b/>
              </w:rPr>
              <w:t xml:space="preserve">regional and international instruments </w:t>
            </w:r>
            <w:r w:rsidRPr="001032A9">
              <w:rPr>
                <w:rFonts w:eastAsia="Calibri" w:cstheme="minorHAnsi"/>
              </w:rPr>
              <w:t>related to child’s rights and sexual exploitation of children.</w:t>
            </w:r>
          </w:p>
        </w:tc>
        <w:tc>
          <w:tcPr>
            <w:tcW w:w="1701" w:type="dxa"/>
          </w:tcPr>
          <w:p w14:paraId="5610C8FA" w14:textId="77777777" w:rsidR="00CD2784" w:rsidRPr="001032A9" w:rsidRDefault="00CD2784" w:rsidP="00CD2784">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79A819E3" w14:textId="77777777" w:rsidR="006509CB" w:rsidRPr="006509CB" w:rsidRDefault="006509CB" w:rsidP="006509CB">
            <w:pPr>
              <w:numPr>
                <w:ilvl w:val="0"/>
                <w:numId w:val="1"/>
              </w:numPr>
              <w:pBdr>
                <w:top w:val="nil"/>
                <w:left w:val="nil"/>
                <w:bottom w:val="nil"/>
                <w:right w:val="nil"/>
                <w:between w:val="nil"/>
              </w:pBdr>
              <w:spacing w:line="276" w:lineRule="auto"/>
              <w:ind w:hanging="252"/>
              <w:contextualSpacing/>
              <w:rPr>
                <w:rFonts w:eastAsia="Times New Roman" w:cstheme="minorHAnsi"/>
                <w:color w:val="000000"/>
                <w:szCs w:val="28"/>
                <w:lang w:val="en-GB" w:bidi="th-TH"/>
              </w:rPr>
            </w:pPr>
            <w:r w:rsidRPr="006509CB">
              <w:rPr>
                <w:rFonts w:eastAsia="Times New Roman" w:cstheme="minorHAnsi"/>
                <w:color w:val="000000"/>
                <w:szCs w:val="28"/>
                <w:lang w:val="en-GB" w:bidi="th-TH"/>
              </w:rPr>
              <w:t xml:space="preserve">Convention on the Rights of the Child (CRC) </w:t>
            </w:r>
            <w:r w:rsidRPr="006509CB">
              <w:rPr>
                <w:rFonts w:eastAsia="Times New Roman" w:cstheme="minorHAnsi"/>
                <w:color w:val="2B673E"/>
                <w:szCs w:val="28"/>
                <w:lang w:val="en-GB" w:bidi="th-TH"/>
              </w:rPr>
              <w:t>Accession in 1995</w:t>
            </w:r>
          </w:p>
          <w:p w14:paraId="40F60D74" w14:textId="77777777" w:rsidR="006509CB" w:rsidRPr="006509CB" w:rsidRDefault="006509CB" w:rsidP="006509CB">
            <w:pPr>
              <w:numPr>
                <w:ilvl w:val="0"/>
                <w:numId w:val="1"/>
              </w:numPr>
              <w:pBdr>
                <w:top w:val="nil"/>
                <w:left w:val="nil"/>
                <w:bottom w:val="nil"/>
                <w:right w:val="nil"/>
                <w:between w:val="nil"/>
              </w:pBdr>
              <w:spacing w:line="276" w:lineRule="auto"/>
              <w:ind w:hanging="252"/>
              <w:contextualSpacing/>
              <w:rPr>
                <w:rFonts w:eastAsia="Times New Roman" w:cstheme="minorHAnsi"/>
                <w:color w:val="000000"/>
                <w:szCs w:val="28"/>
                <w:lang w:val="en-GB" w:bidi="th-TH"/>
              </w:rPr>
            </w:pPr>
            <w:r w:rsidRPr="006509CB">
              <w:rPr>
                <w:rFonts w:eastAsia="Times New Roman" w:cstheme="minorHAnsi"/>
                <w:color w:val="000000"/>
                <w:szCs w:val="28"/>
                <w:lang w:val="en-GB" w:bidi="th-TH"/>
              </w:rPr>
              <w:t xml:space="preserve">Optional Protocol to the CRC on the Sale of Children, Child Prostitution and Child Pornography </w:t>
            </w:r>
            <w:r w:rsidRPr="006509CB">
              <w:rPr>
                <w:rFonts w:eastAsia="Times New Roman" w:cstheme="minorHAnsi"/>
                <w:color w:val="FF0000"/>
                <w:szCs w:val="28"/>
                <w:lang w:val="en-GB" w:bidi="th-TH"/>
              </w:rPr>
              <w:t>Not signed</w:t>
            </w:r>
          </w:p>
          <w:p w14:paraId="3A6EFBE0" w14:textId="77777777" w:rsidR="006509CB" w:rsidRPr="006509CB" w:rsidRDefault="006509CB" w:rsidP="006509CB">
            <w:pPr>
              <w:numPr>
                <w:ilvl w:val="0"/>
                <w:numId w:val="1"/>
              </w:numPr>
              <w:pBdr>
                <w:top w:val="nil"/>
                <w:left w:val="nil"/>
                <w:bottom w:val="nil"/>
                <w:right w:val="nil"/>
                <w:between w:val="nil"/>
              </w:pBdr>
              <w:spacing w:line="276" w:lineRule="auto"/>
              <w:ind w:hanging="252"/>
              <w:contextualSpacing/>
              <w:rPr>
                <w:rFonts w:eastAsia="Times New Roman" w:cstheme="minorHAnsi"/>
                <w:color w:val="000000"/>
                <w:szCs w:val="28"/>
                <w:lang w:val="en-GB" w:bidi="th-TH"/>
              </w:rPr>
            </w:pPr>
            <w:r w:rsidRPr="006509CB">
              <w:rPr>
                <w:rFonts w:eastAsia="Times New Roman" w:cstheme="minorHAnsi"/>
                <w:color w:val="000000"/>
                <w:szCs w:val="28"/>
                <w:lang w:val="en-GB" w:bidi="th-TH"/>
              </w:rPr>
              <w:t xml:space="preserve">Optional Protocol to the CRC on a Communications Procedure (OP3 CRC) </w:t>
            </w:r>
            <w:r w:rsidRPr="006509CB">
              <w:rPr>
                <w:rFonts w:eastAsia="Times New Roman" w:cstheme="minorHAnsi"/>
                <w:color w:val="FF0000"/>
                <w:szCs w:val="28"/>
                <w:lang w:val="en-GB" w:bidi="th-TH"/>
              </w:rPr>
              <w:t>Not signed</w:t>
            </w:r>
          </w:p>
          <w:p w14:paraId="4EC186F5" w14:textId="77777777" w:rsidR="006509CB" w:rsidRPr="006509CB" w:rsidRDefault="006509CB" w:rsidP="006509CB">
            <w:pPr>
              <w:numPr>
                <w:ilvl w:val="0"/>
                <w:numId w:val="1"/>
              </w:numPr>
              <w:pBdr>
                <w:top w:val="nil"/>
                <w:left w:val="nil"/>
                <w:bottom w:val="nil"/>
                <w:right w:val="nil"/>
                <w:between w:val="nil"/>
              </w:pBdr>
              <w:spacing w:line="276" w:lineRule="auto"/>
              <w:ind w:hanging="252"/>
              <w:contextualSpacing/>
              <w:rPr>
                <w:rFonts w:eastAsia="Times New Roman" w:cstheme="minorHAnsi"/>
                <w:color w:val="000000"/>
                <w:szCs w:val="28"/>
                <w:lang w:val="en-GB" w:bidi="th-TH"/>
              </w:rPr>
            </w:pPr>
            <w:r w:rsidRPr="006509CB">
              <w:rPr>
                <w:rFonts w:eastAsia="Times New Roman" w:cstheme="minorHAnsi"/>
                <w:color w:val="000000"/>
                <w:szCs w:val="28"/>
                <w:lang w:val="en-GB" w:bidi="th-TH"/>
              </w:rPr>
              <w:t xml:space="preserve">Protocol to Prevent, Suppress and Punish Trafficking in Persons, especially Women and Children </w:t>
            </w:r>
            <w:r w:rsidRPr="006509CB">
              <w:rPr>
                <w:rFonts w:eastAsia="Times New Roman" w:cstheme="minorHAnsi"/>
                <w:color w:val="2B673E"/>
                <w:szCs w:val="28"/>
                <w:lang w:val="en-GB" w:bidi="th-TH"/>
              </w:rPr>
              <w:t>Accession in 2015</w:t>
            </w:r>
          </w:p>
          <w:p w14:paraId="716342E3" w14:textId="77777777" w:rsidR="006509CB" w:rsidRPr="006509CB" w:rsidRDefault="006509CB" w:rsidP="006509CB">
            <w:pPr>
              <w:numPr>
                <w:ilvl w:val="0"/>
                <w:numId w:val="1"/>
              </w:numPr>
              <w:pBdr>
                <w:top w:val="nil"/>
                <w:left w:val="nil"/>
                <w:bottom w:val="nil"/>
                <w:right w:val="nil"/>
                <w:between w:val="nil"/>
              </w:pBdr>
              <w:spacing w:line="276" w:lineRule="auto"/>
              <w:ind w:hanging="252"/>
              <w:contextualSpacing/>
              <w:rPr>
                <w:rFonts w:eastAsia="Arial" w:cstheme="minorHAnsi"/>
                <w:color w:val="000000"/>
                <w:szCs w:val="28"/>
                <w:lang w:val="en-GB" w:bidi="th-TH"/>
              </w:rPr>
            </w:pPr>
            <w:r w:rsidRPr="006509CB">
              <w:rPr>
                <w:rFonts w:eastAsia="Times New Roman" w:cstheme="minorHAnsi"/>
                <w:color w:val="000000"/>
                <w:szCs w:val="28"/>
                <w:lang w:val="en-GB" w:bidi="th-TH"/>
              </w:rPr>
              <w:t xml:space="preserve">ILO Convention concerning the Prohibition and Immediate Action for the Elimination of the Worst Forms of Child Labour No.182 </w:t>
            </w:r>
            <w:r w:rsidRPr="006509CB">
              <w:rPr>
                <w:rFonts w:eastAsia="Times New Roman" w:cstheme="minorHAnsi"/>
                <w:color w:val="2B673E"/>
                <w:szCs w:val="28"/>
                <w:lang w:val="en-GB" w:bidi="th-TH"/>
              </w:rPr>
              <w:t>Ratified in 2001</w:t>
            </w:r>
          </w:p>
          <w:p w14:paraId="621B3DAD" w14:textId="0809EF29" w:rsidR="00CD2784" w:rsidRPr="001032A9" w:rsidRDefault="006509CB" w:rsidP="006509CB">
            <w:pPr>
              <w:pStyle w:val="Paragrafoelenco"/>
              <w:numPr>
                <w:ilvl w:val="0"/>
                <w:numId w:val="1"/>
              </w:numPr>
              <w:rPr>
                <w:rFonts w:asciiTheme="minorHAnsi" w:eastAsia="Calibri" w:hAnsiTheme="minorHAnsi" w:cstheme="minorHAnsi"/>
              </w:rPr>
            </w:pPr>
            <w:r w:rsidRPr="006509CB">
              <w:rPr>
                <w:rFonts w:asciiTheme="minorHAnsi" w:eastAsia="Times New Roman" w:hAnsiTheme="minorHAnsi" w:cstheme="minorHAnsi"/>
                <w:szCs w:val="22"/>
                <w:lang w:val="en-GB"/>
              </w:rPr>
              <w:t xml:space="preserve">United Nations World Tourism Organisation (UNWTO) Framework Convention on Tourism Ethics </w:t>
            </w:r>
            <w:r w:rsidRPr="006509CB">
              <w:rPr>
                <w:rFonts w:asciiTheme="minorHAnsi" w:eastAsia="Times New Roman" w:hAnsiTheme="minorHAnsi" w:cstheme="minorHAnsi"/>
                <w:color w:val="FF0000"/>
                <w:szCs w:val="22"/>
                <w:lang w:val="en-GB"/>
              </w:rPr>
              <w:t>Not ratified</w:t>
            </w:r>
          </w:p>
        </w:tc>
      </w:tr>
      <w:tr w:rsidR="006509CB" w:rsidRPr="001032A9" w14:paraId="7C23846E" w14:textId="77777777" w:rsidTr="00A21390">
        <w:trPr>
          <w:trHeight w:val="1280"/>
        </w:trPr>
        <w:tc>
          <w:tcPr>
            <w:tcW w:w="425" w:type="dxa"/>
          </w:tcPr>
          <w:p w14:paraId="64D2ADA5" w14:textId="77777777" w:rsidR="006509CB" w:rsidRPr="001032A9" w:rsidRDefault="006509CB" w:rsidP="006509CB">
            <w:pPr>
              <w:pStyle w:val="Paragrafoelenco"/>
              <w:numPr>
                <w:ilvl w:val="0"/>
                <w:numId w:val="2"/>
              </w:numPr>
              <w:spacing w:line="240" w:lineRule="auto"/>
              <w:rPr>
                <w:rFonts w:asciiTheme="minorHAnsi" w:hAnsiTheme="minorHAnsi" w:cstheme="minorHAnsi"/>
                <w:lang w:val="en-GB"/>
              </w:rPr>
            </w:pPr>
          </w:p>
        </w:tc>
        <w:tc>
          <w:tcPr>
            <w:tcW w:w="5529" w:type="dxa"/>
          </w:tcPr>
          <w:p w14:paraId="015C7999" w14:textId="77777777" w:rsidR="006509CB" w:rsidRPr="001032A9" w:rsidRDefault="006509CB" w:rsidP="006509CB">
            <w:pPr>
              <w:rPr>
                <w:rFonts w:cstheme="minorHAnsi"/>
                <w:lang w:val="en-GB"/>
              </w:rPr>
            </w:pPr>
            <w:r w:rsidRPr="001032A9">
              <w:rPr>
                <w:rFonts w:eastAsia="Calibri" w:cstheme="minorHAnsi"/>
              </w:rPr>
              <w:t xml:space="preserve">Establish </w:t>
            </w:r>
            <w:r w:rsidRPr="001032A9">
              <w:rPr>
                <w:rFonts w:eastAsia="Calibri" w:cstheme="minorHAnsi"/>
                <w:b/>
              </w:rPr>
              <w:t>protection measures</w:t>
            </w:r>
            <w:r w:rsidRPr="001032A9">
              <w:rPr>
                <w:rFonts w:eastAsia="Calibri" w:cstheme="minorHAnsi"/>
              </w:rPr>
              <w:t xml:space="preserve"> for child victims at any stage of the legal process against the suspected offender.</w:t>
            </w:r>
          </w:p>
        </w:tc>
        <w:tc>
          <w:tcPr>
            <w:tcW w:w="1701" w:type="dxa"/>
          </w:tcPr>
          <w:p w14:paraId="53B19036" w14:textId="6E5EAE48" w:rsidR="006509CB" w:rsidRPr="001032A9" w:rsidRDefault="006509CB" w:rsidP="006509CB">
            <w:pPr>
              <w:rPr>
                <w:rFonts w:cstheme="minorHAnsi"/>
                <w:bCs/>
                <w:color w:val="000000" w:themeColor="text1"/>
                <w:lang w:val="en-GB"/>
              </w:rPr>
            </w:pPr>
            <w:r>
              <w:rPr>
                <w:rFonts w:cstheme="minorHAnsi"/>
                <w:bCs/>
                <w:color w:val="000000" w:themeColor="text1"/>
                <w:lang w:val="en-GB"/>
              </w:rPr>
              <w:t>Yes</w:t>
            </w:r>
          </w:p>
        </w:tc>
        <w:tc>
          <w:tcPr>
            <w:tcW w:w="6520" w:type="dxa"/>
          </w:tcPr>
          <w:p w14:paraId="6DAAC197" w14:textId="77777777" w:rsidR="006509CB" w:rsidRPr="006509CB" w:rsidRDefault="006509CB" w:rsidP="006509CB">
            <w:pPr>
              <w:rPr>
                <w:rFonts w:cstheme="minorHAnsi"/>
                <w:lang w:val="en-GB"/>
              </w:rPr>
            </w:pPr>
            <w:r w:rsidRPr="006509CB">
              <w:rPr>
                <w:rFonts w:cstheme="minorHAnsi"/>
                <w:lang w:val="en-GB"/>
              </w:rPr>
              <w:t xml:space="preserve">The Witness Support Programme provides support to vulnerable witnesses in criminal cases who </w:t>
            </w:r>
            <w:proofErr w:type="gramStart"/>
            <w:r w:rsidRPr="006509CB">
              <w:rPr>
                <w:rFonts w:cstheme="minorHAnsi"/>
                <w:lang w:val="en-GB"/>
              </w:rPr>
              <w:t>have to</w:t>
            </w:r>
            <w:proofErr w:type="gramEnd"/>
            <w:r w:rsidRPr="006509CB">
              <w:rPr>
                <w:rFonts w:cstheme="minorHAnsi"/>
                <w:lang w:val="en-GB"/>
              </w:rPr>
              <w:t xml:space="preserve"> give their evidence in Court against their perpetrator(s), namely the accused person(s). The Programme provides emotional support to witnesses who are required to give evidence in Court and are children below 18 years old.</w:t>
            </w:r>
          </w:p>
          <w:p w14:paraId="18B53E4B" w14:textId="4AD1ACE6" w:rsidR="006509CB" w:rsidRPr="001032A9" w:rsidRDefault="006509CB" w:rsidP="006509CB">
            <w:pPr>
              <w:rPr>
                <w:rFonts w:cstheme="minorHAnsi"/>
                <w:lang w:val="en-GB"/>
              </w:rPr>
            </w:pPr>
            <w:r w:rsidRPr="006509CB">
              <w:rPr>
                <w:rFonts w:cstheme="minorHAnsi"/>
                <w:lang w:val="en-GB"/>
              </w:rPr>
              <w:lastRenderedPageBreak/>
              <w:t>Section 18(2) of the Prevention of Human Trafficking Act 2014 prohibits publication of names and other details of victims of trafficking.</w:t>
            </w:r>
            <w:r>
              <w:rPr>
                <w:rFonts w:asciiTheme="majorHAnsi" w:hAnsiTheme="majorHAnsi" w:cstheme="majorHAnsi"/>
                <w:lang w:val="en-GB"/>
              </w:rPr>
              <w:t xml:space="preserve"> </w:t>
            </w:r>
          </w:p>
        </w:tc>
      </w:tr>
      <w:tr w:rsidR="006509CB" w:rsidRPr="001032A9" w14:paraId="115EA3C7" w14:textId="77777777" w:rsidTr="00A21390">
        <w:trPr>
          <w:trHeight w:val="557"/>
        </w:trPr>
        <w:tc>
          <w:tcPr>
            <w:tcW w:w="425" w:type="dxa"/>
          </w:tcPr>
          <w:p w14:paraId="799C7136" w14:textId="77777777" w:rsidR="006509CB" w:rsidRPr="001032A9" w:rsidRDefault="006509CB" w:rsidP="006509CB">
            <w:pPr>
              <w:pStyle w:val="Paragrafoelenco"/>
              <w:numPr>
                <w:ilvl w:val="0"/>
                <w:numId w:val="2"/>
              </w:numPr>
              <w:spacing w:line="240" w:lineRule="auto"/>
              <w:rPr>
                <w:rFonts w:asciiTheme="minorHAnsi" w:hAnsiTheme="minorHAnsi" w:cstheme="minorHAnsi"/>
                <w:lang w:val="en-GB"/>
              </w:rPr>
            </w:pPr>
          </w:p>
        </w:tc>
        <w:tc>
          <w:tcPr>
            <w:tcW w:w="5529" w:type="dxa"/>
          </w:tcPr>
          <w:p w14:paraId="01B00B33" w14:textId="77777777" w:rsidR="006509CB" w:rsidRPr="001032A9" w:rsidRDefault="006509CB" w:rsidP="006509CB">
            <w:pPr>
              <w:spacing w:after="160" w:line="259" w:lineRule="auto"/>
              <w:jc w:val="both"/>
              <w:rPr>
                <w:rFonts w:cstheme="minorHAnsi"/>
              </w:rPr>
            </w:pPr>
            <w:r w:rsidRPr="001032A9">
              <w:rPr>
                <w:rFonts w:cstheme="minorHAnsi"/>
              </w:rPr>
              <w:t xml:space="preserve">Establish </w:t>
            </w:r>
            <w:r w:rsidRPr="001032A9">
              <w:rPr>
                <w:rFonts w:cstheme="minorHAnsi"/>
                <w:b/>
                <w:bCs/>
              </w:rPr>
              <w:t xml:space="preserve">child-friendly interviewing practices by professionally trained police. </w:t>
            </w:r>
          </w:p>
          <w:p w14:paraId="59AA4A44" w14:textId="77777777" w:rsidR="006509CB" w:rsidRPr="001032A9" w:rsidRDefault="006509CB" w:rsidP="006509CB">
            <w:pPr>
              <w:rPr>
                <w:rFonts w:cstheme="minorHAnsi"/>
              </w:rPr>
            </w:pPr>
          </w:p>
        </w:tc>
        <w:tc>
          <w:tcPr>
            <w:tcW w:w="1701" w:type="dxa"/>
          </w:tcPr>
          <w:p w14:paraId="74EFE905" w14:textId="704E611B" w:rsidR="006509CB" w:rsidRPr="001032A9" w:rsidRDefault="006509CB" w:rsidP="006509CB">
            <w:pPr>
              <w:rPr>
                <w:rFonts w:cstheme="minorHAnsi"/>
                <w:bCs/>
                <w:color w:val="000000" w:themeColor="text1"/>
                <w:lang w:val="en-GB"/>
              </w:rPr>
            </w:pPr>
            <w:r>
              <w:rPr>
                <w:rFonts w:cstheme="minorHAnsi"/>
                <w:bCs/>
                <w:color w:val="000000" w:themeColor="text1"/>
                <w:lang w:val="en-GB"/>
              </w:rPr>
              <w:t>Partially</w:t>
            </w:r>
          </w:p>
        </w:tc>
        <w:tc>
          <w:tcPr>
            <w:tcW w:w="6520" w:type="dxa"/>
          </w:tcPr>
          <w:p w14:paraId="0440D2EF" w14:textId="77777777" w:rsidR="006509CB" w:rsidRPr="006509CB" w:rsidRDefault="006509CB" w:rsidP="006509CB">
            <w:pPr>
              <w:rPr>
                <w:rFonts w:cstheme="minorHAnsi"/>
                <w:lang w:val="en-GB"/>
              </w:rPr>
            </w:pPr>
            <w:r w:rsidRPr="006509CB">
              <w:rPr>
                <w:rFonts w:cstheme="minorHAnsi"/>
                <w:lang w:val="en-GB"/>
              </w:rPr>
              <w:t xml:space="preserve">For a child victim of trafficking, Article 18(1)(a) of the Prevention in Human Trafficking Act 2014 permits the courts to hold in camera proceedings. </w:t>
            </w:r>
          </w:p>
          <w:p w14:paraId="45E8D0D9" w14:textId="77777777" w:rsidR="006509CB" w:rsidRPr="006509CB" w:rsidRDefault="006509CB" w:rsidP="006509CB">
            <w:pPr>
              <w:rPr>
                <w:rFonts w:cstheme="minorHAnsi"/>
                <w:lang w:val="en-GB"/>
              </w:rPr>
            </w:pPr>
          </w:p>
          <w:p w14:paraId="0FA0ED40" w14:textId="77777777" w:rsidR="006509CB" w:rsidRPr="006509CB" w:rsidRDefault="006509CB" w:rsidP="006509CB">
            <w:pPr>
              <w:rPr>
                <w:rFonts w:cstheme="minorHAnsi"/>
                <w:lang w:val="en-GB"/>
              </w:rPr>
            </w:pPr>
            <w:r w:rsidRPr="006509CB">
              <w:rPr>
                <w:rFonts w:cstheme="minorHAnsi"/>
                <w:lang w:val="en-GB"/>
              </w:rPr>
              <w:t>The Children and Young Persons Act 1993 provides for the establishment of Youth Courts (Part III). According to Section 28(1):</w:t>
            </w:r>
          </w:p>
          <w:p w14:paraId="18C9D0DE" w14:textId="2BBA709D" w:rsidR="006509CB" w:rsidRPr="001032A9" w:rsidRDefault="006509CB" w:rsidP="006509CB">
            <w:pPr>
              <w:rPr>
                <w:rFonts w:cstheme="minorHAnsi"/>
                <w:lang w:val="en-GB"/>
              </w:rPr>
            </w:pPr>
            <w:r w:rsidRPr="006509CB">
              <w:rPr>
                <w:rFonts w:cstheme="minorHAnsi"/>
                <w:lang w:val="en-GB"/>
              </w:rPr>
              <w:t>Every court in dealing with a child or young person who is brought before it, either as being in need of care or protection, or as an offender or otherwise, shall have regard to the welfare of the child or young person and shall, in a proper case, take steps for removing him from undesirable surroundings, and for securing that proper provision is made for his education and training.</w:t>
            </w:r>
          </w:p>
        </w:tc>
      </w:tr>
      <w:tr w:rsidR="006509CB" w:rsidRPr="001032A9" w14:paraId="3E1CDB0C" w14:textId="77777777" w:rsidTr="00A21390">
        <w:trPr>
          <w:trHeight w:val="557"/>
        </w:trPr>
        <w:tc>
          <w:tcPr>
            <w:tcW w:w="425" w:type="dxa"/>
          </w:tcPr>
          <w:p w14:paraId="76BDB593" w14:textId="77777777" w:rsidR="006509CB" w:rsidRPr="001032A9" w:rsidRDefault="006509CB" w:rsidP="006509CB">
            <w:pPr>
              <w:pStyle w:val="Paragrafoelenco"/>
              <w:numPr>
                <w:ilvl w:val="0"/>
                <w:numId w:val="2"/>
              </w:numPr>
              <w:spacing w:line="240" w:lineRule="auto"/>
              <w:rPr>
                <w:rFonts w:asciiTheme="minorHAnsi" w:hAnsiTheme="minorHAnsi" w:cstheme="minorHAnsi"/>
                <w:lang w:val="en-GB"/>
              </w:rPr>
            </w:pPr>
          </w:p>
        </w:tc>
        <w:tc>
          <w:tcPr>
            <w:tcW w:w="5529" w:type="dxa"/>
          </w:tcPr>
          <w:p w14:paraId="66EBAFA7" w14:textId="77777777" w:rsidR="006509CB" w:rsidRPr="001032A9" w:rsidRDefault="006509CB" w:rsidP="006509CB">
            <w:pPr>
              <w:rPr>
                <w:rFonts w:cstheme="minorHAnsi"/>
              </w:rPr>
            </w:pPr>
            <w:r w:rsidRPr="001032A9">
              <w:rPr>
                <w:rFonts w:eastAsia="Calibri" w:cstheme="minorHAnsi"/>
              </w:rPr>
              <w:t xml:space="preserve">Ensure that national legislation provides the </w:t>
            </w:r>
            <w:r w:rsidRPr="001032A9">
              <w:rPr>
                <w:rFonts w:eastAsia="Calibri" w:cstheme="minorHAnsi"/>
                <w:b/>
              </w:rPr>
              <w:t>right for child victims to receive support in their recovery and rehabilitation</w:t>
            </w:r>
            <w:r w:rsidRPr="001032A9">
              <w:rPr>
                <w:rFonts w:eastAsia="Calibri" w:cstheme="minorHAnsi"/>
              </w:rPr>
              <w:t>, including accessing re-integration services.</w:t>
            </w:r>
          </w:p>
        </w:tc>
        <w:tc>
          <w:tcPr>
            <w:tcW w:w="1701" w:type="dxa"/>
          </w:tcPr>
          <w:p w14:paraId="7ABE7F31" w14:textId="11B97516" w:rsidR="006509CB" w:rsidRPr="001032A9" w:rsidRDefault="006509CB" w:rsidP="006509CB">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5F4593ED" w14:textId="77777777" w:rsidR="00883203" w:rsidRPr="00883203" w:rsidRDefault="00883203" w:rsidP="00883203">
            <w:pPr>
              <w:rPr>
                <w:rFonts w:eastAsia="Times New Roman" w:cstheme="minorHAnsi"/>
                <w:lang w:val="en-GB"/>
              </w:rPr>
            </w:pPr>
            <w:r w:rsidRPr="00883203">
              <w:rPr>
                <w:rFonts w:eastAsia="Times New Roman" w:cstheme="minorHAnsi"/>
                <w:lang w:val="en-GB"/>
              </w:rPr>
              <w:t xml:space="preserve">There seems to be no relevant provisions on the right of recovery and rehabilitation of child victims of sexual exploitation. However, programmes are in place to provide specialised psychological and therapeutic support to victims to strengthen their recovery. </w:t>
            </w:r>
          </w:p>
          <w:p w14:paraId="0B48DB6B" w14:textId="77777777" w:rsidR="00883203" w:rsidRPr="00883203" w:rsidRDefault="00883203" w:rsidP="00883203">
            <w:pPr>
              <w:rPr>
                <w:rFonts w:eastAsia="Times New Roman" w:cstheme="minorHAnsi"/>
                <w:lang w:val="en-GB"/>
              </w:rPr>
            </w:pPr>
          </w:p>
          <w:p w14:paraId="54CFAC96" w14:textId="05165611" w:rsidR="006509CB" w:rsidRPr="001032A9" w:rsidRDefault="00883203" w:rsidP="00883203">
            <w:pPr>
              <w:rPr>
                <w:rFonts w:cstheme="minorHAnsi"/>
                <w:lang w:val="en-GB"/>
              </w:rPr>
            </w:pPr>
            <w:r w:rsidRPr="00883203">
              <w:rPr>
                <w:rFonts w:eastAsia="Times New Roman" w:cstheme="minorHAnsi"/>
                <w:lang w:val="en-GB"/>
              </w:rPr>
              <w:t>Section 19 of the Prevention of Human Trafficking Act 2014 provides for assistance to trafficked victims, including temporary shelters and counselling services.</w:t>
            </w:r>
          </w:p>
        </w:tc>
      </w:tr>
      <w:tr w:rsidR="006509CB" w:rsidRPr="001032A9" w14:paraId="0B5C2495" w14:textId="77777777" w:rsidTr="00A21390">
        <w:trPr>
          <w:trHeight w:val="557"/>
        </w:trPr>
        <w:tc>
          <w:tcPr>
            <w:tcW w:w="425" w:type="dxa"/>
          </w:tcPr>
          <w:p w14:paraId="740C2C0E" w14:textId="77777777" w:rsidR="006509CB" w:rsidRPr="001032A9" w:rsidRDefault="006509CB" w:rsidP="006509CB">
            <w:pPr>
              <w:pStyle w:val="Paragrafoelenco"/>
              <w:numPr>
                <w:ilvl w:val="0"/>
                <w:numId w:val="2"/>
              </w:numPr>
              <w:spacing w:line="240" w:lineRule="auto"/>
              <w:rPr>
                <w:rFonts w:asciiTheme="minorHAnsi" w:hAnsiTheme="minorHAnsi" w:cstheme="minorHAnsi"/>
                <w:lang w:val="en-GB"/>
              </w:rPr>
            </w:pPr>
          </w:p>
        </w:tc>
        <w:tc>
          <w:tcPr>
            <w:tcW w:w="5529" w:type="dxa"/>
          </w:tcPr>
          <w:p w14:paraId="120306FB" w14:textId="77777777" w:rsidR="006509CB" w:rsidRPr="001032A9" w:rsidRDefault="006509CB" w:rsidP="006509CB">
            <w:pPr>
              <w:tabs>
                <w:tab w:val="left" w:pos="1470"/>
              </w:tabs>
              <w:rPr>
                <w:rFonts w:cstheme="minorHAnsi"/>
              </w:rPr>
            </w:pPr>
            <w:r w:rsidRPr="001032A9">
              <w:rPr>
                <w:rFonts w:eastAsia="Calibri" w:cstheme="minorHAnsi"/>
              </w:rPr>
              <w:t xml:space="preserve">Establish a </w:t>
            </w:r>
            <w:r w:rsidRPr="001032A9">
              <w:rPr>
                <w:rFonts w:eastAsia="Calibri" w:cstheme="minorHAnsi"/>
                <w:b/>
              </w:rPr>
              <w:t>national reporting mechanism (</w:t>
            </w:r>
            <w:proofErr w:type="gramStart"/>
            <w:r w:rsidRPr="001032A9">
              <w:rPr>
                <w:rFonts w:eastAsia="Calibri" w:cstheme="minorHAnsi"/>
                <w:b/>
              </w:rPr>
              <w:t>e.g.</w:t>
            </w:r>
            <w:proofErr w:type="gramEnd"/>
            <w:r w:rsidRPr="001032A9">
              <w:rPr>
                <w:rFonts w:eastAsia="Calibri" w:cstheme="minorHAnsi"/>
                <w:b/>
              </w:rPr>
              <w:t xml:space="preserve"> hotline)</w:t>
            </w:r>
            <w:r w:rsidRPr="001032A9">
              <w:rPr>
                <w:rFonts w:eastAsia="Calibri" w:cstheme="minorHAnsi"/>
              </w:rPr>
              <w:t xml:space="preserve"> that coordinates access to services, and helps to overcome reluctance to report sexual exploitation of children.</w:t>
            </w:r>
          </w:p>
        </w:tc>
        <w:tc>
          <w:tcPr>
            <w:tcW w:w="1701" w:type="dxa"/>
          </w:tcPr>
          <w:p w14:paraId="192F8242" w14:textId="3683CD2F" w:rsidR="006509CB" w:rsidRPr="001032A9" w:rsidRDefault="006509CB" w:rsidP="006509CB">
            <w:pPr>
              <w:rPr>
                <w:rFonts w:cstheme="minorHAnsi"/>
                <w:bCs/>
                <w:color w:val="000000" w:themeColor="text1"/>
                <w:lang w:val="en-GB"/>
              </w:rPr>
            </w:pPr>
            <w:r>
              <w:rPr>
                <w:rFonts w:cstheme="minorHAnsi"/>
                <w:bCs/>
                <w:color w:val="000000" w:themeColor="text1"/>
                <w:lang w:val="en-GB"/>
              </w:rPr>
              <w:t>No</w:t>
            </w:r>
          </w:p>
        </w:tc>
        <w:tc>
          <w:tcPr>
            <w:tcW w:w="6520" w:type="dxa"/>
          </w:tcPr>
          <w:p w14:paraId="5C389913" w14:textId="77777777" w:rsidR="00883203" w:rsidRPr="00883203" w:rsidRDefault="00883203" w:rsidP="00883203">
            <w:pPr>
              <w:rPr>
                <w:rFonts w:eastAsia="Times New Roman" w:cstheme="minorHAnsi"/>
                <w:lang w:val="en-GB"/>
              </w:rPr>
            </w:pPr>
            <w:r w:rsidRPr="00883203">
              <w:rPr>
                <w:rFonts w:eastAsia="Times New Roman" w:cstheme="minorHAnsi"/>
                <w:lang w:val="en-GB"/>
              </w:rPr>
              <w:t>Section 21 of the Prevention of Human Trafficking Act 2014 accords protection to the informers of trafficking.</w:t>
            </w:r>
          </w:p>
          <w:p w14:paraId="4610BE2A" w14:textId="025567F7" w:rsidR="006509CB" w:rsidRPr="001032A9" w:rsidRDefault="00883203" w:rsidP="00883203">
            <w:pPr>
              <w:rPr>
                <w:rFonts w:cstheme="minorHAnsi"/>
                <w:lang w:val="en-GB"/>
              </w:rPr>
            </w:pPr>
            <w:r w:rsidRPr="00883203">
              <w:rPr>
                <w:rFonts w:eastAsia="Times New Roman" w:cstheme="minorHAnsi"/>
                <w:lang w:val="en-GB"/>
              </w:rPr>
              <w:t>No national reporting system provided for by law. Children can file complaints (via email or phone) with relevant government agencies, such as the MSF Child Protective Service hotline or Policy Division Headquarters and Neighbourhood Police Centres. A child helpline, Tinkle Friend, is available for school-aged children.</w:t>
            </w:r>
          </w:p>
        </w:tc>
      </w:tr>
      <w:tr w:rsidR="00883203" w:rsidRPr="001032A9" w14:paraId="1A965A29" w14:textId="77777777" w:rsidTr="00A21390">
        <w:trPr>
          <w:trHeight w:val="557"/>
        </w:trPr>
        <w:tc>
          <w:tcPr>
            <w:tcW w:w="425" w:type="dxa"/>
          </w:tcPr>
          <w:p w14:paraId="68F41B01" w14:textId="77777777" w:rsidR="00883203" w:rsidRPr="001032A9" w:rsidRDefault="00883203" w:rsidP="00883203">
            <w:pPr>
              <w:pStyle w:val="Paragrafoelenco"/>
              <w:numPr>
                <w:ilvl w:val="0"/>
                <w:numId w:val="2"/>
              </w:numPr>
              <w:spacing w:line="240" w:lineRule="auto"/>
              <w:rPr>
                <w:rFonts w:asciiTheme="minorHAnsi" w:hAnsiTheme="minorHAnsi" w:cstheme="minorHAnsi"/>
                <w:lang w:val="en-GB"/>
              </w:rPr>
            </w:pPr>
          </w:p>
        </w:tc>
        <w:tc>
          <w:tcPr>
            <w:tcW w:w="5529" w:type="dxa"/>
          </w:tcPr>
          <w:p w14:paraId="77BCDC03" w14:textId="77777777" w:rsidR="00883203" w:rsidRPr="001032A9" w:rsidRDefault="00883203" w:rsidP="00883203">
            <w:pPr>
              <w:rPr>
                <w:rFonts w:cstheme="minorHAnsi"/>
              </w:rPr>
            </w:pPr>
            <w:r w:rsidRPr="001032A9">
              <w:rPr>
                <w:rFonts w:eastAsia="Calibri" w:cstheme="minorHAnsi"/>
              </w:rPr>
              <w:t xml:space="preserve">Create </w:t>
            </w:r>
            <w:r w:rsidRPr="001032A9">
              <w:rPr>
                <w:rFonts w:eastAsia="Calibri" w:cstheme="minorHAnsi"/>
                <w:b/>
              </w:rPr>
              <w:t xml:space="preserve">data retention and </w:t>
            </w:r>
            <w:r w:rsidRPr="001032A9">
              <w:rPr>
                <w:rFonts w:eastAsia="Calibri" w:cstheme="minorHAnsi"/>
              </w:rPr>
              <w:t xml:space="preserve">preservation laws, </w:t>
            </w:r>
            <w:proofErr w:type="gramStart"/>
            <w:r w:rsidRPr="001032A9">
              <w:rPr>
                <w:rFonts w:eastAsia="Calibri" w:cstheme="minorHAnsi"/>
              </w:rPr>
              <w:t>regulations</w:t>
            </w:r>
            <w:proofErr w:type="gramEnd"/>
            <w:r w:rsidRPr="001032A9">
              <w:rPr>
                <w:rFonts w:eastAsia="Calibri" w:cstheme="minorHAnsi"/>
              </w:rPr>
              <w:t xml:space="preserve">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p>
        </w:tc>
        <w:tc>
          <w:tcPr>
            <w:tcW w:w="1701" w:type="dxa"/>
          </w:tcPr>
          <w:p w14:paraId="23515973" w14:textId="3058B08F" w:rsidR="00883203" w:rsidRPr="001032A9" w:rsidRDefault="00883203" w:rsidP="00883203">
            <w:pPr>
              <w:rPr>
                <w:rFonts w:cstheme="minorHAnsi"/>
                <w:bCs/>
                <w:color w:val="000000" w:themeColor="text1"/>
                <w:lang w:val="en-GB"/>
              </w:rPr>
            </w:pPr>
            <w:r>
              <w:rPr>
                <w:rFonts w:cstheme="minorHAnsi"/>
                <w:bCs/>
                <w:color w:val="000000" w:themeColor="text1"/>
                <w:lang w:val="en-GB"/>
              </w:rPr>
              <w:t>?</w:t>
            </w:r>
          </w:p>
        </w:tc>
        <w:tc>
          <w:tcPr>
            <w:tcW w:w="6520" w:type="dxa"/>
          </w:tcPr>
          <w:p w14:paraId="02E15C16" w14:textId="68D6039D" w:rsidR="00883203" w:rsidRPr="00883203" w:rsidRDefault="00883203" w:rsidP="00883203">
            <w:pPr>
              <w:rPr>
                <w:rFonts w:cstheme="minorHAnsi"/>
                <w:lang w:val="en-GB"/>
              </w:rPr>
            </w:pPr>
            <w:r w:rsidRPr="00883203">
              <w:rPr>
                <w:rFonts w:cstheme="minorHAnsi"/>
                <w:lang w:val="en-GB"/>
              </w:rPr>
              <w:t>It is unclear if the legislation on data retention (</w:t>
            </w:r>
            <w:r w:rsidR="00347DAB" w:rsidRPr="00883203">
              <w:rPr>
                <w:rFonts w:cstheme="minorHAnsi"/>
                <w:lang w:val="en-GB"/>
              </w:rPr>
              <w:t>e.g.,</w:t>
            </w:r>
            <w:r w:rsidRPr="00883203">
              <w:rPr>
                <w:rFonts w:cstheme="minorHAnsi"/>
                <w:lang w:val="en-GB"/>
              </w:rPr>
              <w:t xml:space="preserve"> the Personal Data Protection Act) applies for investigation of cases related to sexual exploitation of children. </w:t>
            </w:r>
          </w:p>
        </w:tc>
      </w:tr>
      <w:tr w:rsidR="00883203" w:rsidRPr="001032A9" w14:paraId="7EEE3949" w14:textId="77777777" w:rsidTr="00A21390">
        <w:trPr>
          <w:trHeight w:val="720"/>
        </w:trPr>
        <w:tc>
          <w:tcPr>
            <w:tcW w:w="425" w:type="dxa"/>
          </w:tcPr>
          <w:p w14:paraId="150DAA25" w14:textId="77777777" w:rsidR="00883203" w:rsidRPr="001032A9" w:rsidRDefault="00883203" w:rsidP="00883203">
            <w:pPr>
              <w:pStyle w:val="Paragrafoelenco"/>
              <w:numPr>
                <w:ilvl w:val="0"/>
                <w:numId w:val="2"/>
              </w:numPr>
              <w:spacing w:line="240" w:lineRule="auto"/>
              <w:rPr>
                <w:rFonts w:asciiTheme="minorHAnsi" w:hAnsiTheme="minorHAnsi" w:cstheme="minorHAnsi"/>
                <w:lang w:val="en-GB"/>
              </w:rPr>
            </w:pPr>
          </w:p>
        </w:tc>
        <w:tc>
          <w:tcPr>
            <w:tcW w:w="5529" w:type="dxa"/>
          </w:tcPr>
          <w:p w14:paraId="4845105A" w14:textId="77777777" w:rsidR="00883203" w:rsidRPr="001032A9" w:rsidRDefault="00883203" w:rsidP="00883203">
            <w:pPr>
              <w:rPr>
                <w:rFonts w:cstheme="minorHAnsi"/>
                <w:lang w:val="en-GB"/>
              </w:rPr>
            </w:pPr>
            <w:r w:rsidRPr="001032A9">
              <w:rPr>
                <w:rFonts w:eastAsia="Calibri" w:cstheme="minorHAnsi"/>
              </w:rPr>
              <w:t xml:space="preserve">Ensure that national legislation provides the </w:t>
            </w:r>
            <w:r w:rsidRPr="001032A9">
              <w:rPr>
                <w:rFonts w:eastAsia="Calibri" w:cstheme="minorHAnsi"/>
                <w:b/>
              </w:rPr>
              <w:t>right for all child victims of sexual exploitation to seek compensation</w:t>
            </w:r>
            <w:r w:rsidRPr="001032A9">
              <w:rPr>
                <w:rFonts w:eastAsia="Calibri" w:cstheme="minorHAnsi"/>
              </w:rPr>
              <w:t xml:space="preserve"> in national courts from convicted perpetrators who harmed them and/or through state-managed funds.</w:t>
            </w:r>
            <w:r w:rsidRPr="001032A9">
              <w:rPr>
                <w:rFonts w:cstheme="minorHAnsi"/>
                <w:lang w:val="en-GB"/>
              </w:rPr>
              <w:t xml:space="preserve"> </w:t>
            </w:r>
          </w:p>
        </w:tc>
        <w:tc>
          <w:tcPr>
            <w:tcW w:w="1701" w:type="dxa"/>
          </w:tcPr>
          <w:p w14:paraId="1C912E67" w14:textId="3FD9D4D4" w:rsidR="00883203" w:rsidRPr="001032A9" w:rsidRDefault="00883203" w:rsidP="00883203">
            <w:pPr>
              <w:rPr>
                <w:rFonts w:cstheme="minorHAnsi"/>
                <w:bCs/>
                <w:color w:val="000000" w:themeColor="text1"/>
                <w:lang w:val="en-GB"/>
              </w:rPr>
            </w:pPr>
            <w:r w:rsidRPr="001032A9">
              <w:rPr>
                <w:rFonts w:cstheme="minorHAnsi"/>
                <w:bCs/>
                <w:color w:val="000000" w:themeColor="text1"/>
                <w:lang w:val="en-GB"/>
              </w:rPr>
              <w:t xml:space="preserve"> </w:t>
            </w:r>
            <w:r>
              <w:rPr>
                <w:rFonts w:cstheme="minorHAnsi"/>
                <w:bCs/>
                <w:color w:val="000000" w:themeColor="text1"/>
                <w:lang w:val="en-GB"/>
              </w:rPr>
              <w:t>Yes</w:t>
            </w:r>
          </w:p>
        </w:tc>
        <w:tc>
          <w:tcPr>
            <w:tcW w:w="6520" w:type="dxa"/>
          </w:tcPr>
          <w:p w14:paraId="4DBFBCD1" w14:textId="77777777" w:rsidR="00883203" w:rsidRPr="00883203" w:rsidRDefault="00883203" w:rsidP="00883203">
            <w:pPr>
              <w:rPr>
                <w:rFonts w:cstheme="minorHAnsi"/>
                <w:lang w:val="en-GB"/>
              </w:rPr>
            </w:pPr>
            <w:r w:rsidRPr="00883203">
              <w:rPr>
                <w:rFonts w:cstheme="minorHAnsi"/>
                <w:lang w:val="en-GB"/>
              </w:rPr>
              <w:t>Order for payment of compensation</w:t>
            </w:r>
          </w:p>
          <w:p w14:paraId="4FBB7E5C" w14:textId="77777777" w:rsidR="00883203" w:rsidRPr="00883203" w:rsidRDefault="00883203" w:rsidP="00883203">
            <w:pPr>
              <w:rPr>
                <w:rFonts w:cstheme="minorHAnsi"/>
                <w:lang w:val="en-GB"/>
              </w:rPr>
            </w:pPr>
            <w:r w:rsidRPr="00883203">
              <w:rPr>
                <w:rFonts w:cstheme="minorHAnsi"/>
                <w:lang w:val="en-GB"/>
              </w:rPr>
              <w:t>Article 359 Criminal procedure Code—</w:t>
            </w:r>
          </w:p>
          <w:p w14:paraId="66EB607E" w14:textId="77777777" w:rsidR="00883203" w:rsidRPr="00883203" w:rsidRDefault="00883203" w:rsidP="00883203">
            <w:pPr>
              <w:rPr>
                <w:rFonts w:cstheme="minorHAnsi"/>
                <w:lang w:val="en-GB"/>
              </w:rPr>
            </w:pPr>
            <w:r w:rsidRPr="00883203">
              <w:rPr>
                <w:rFonts w:cstheme="minorHAnsi"/>
                <w:lang w:val="en-GB"/>
              </w:rPr>
              <w:t xml:space="preserve">(1) The court before which a person is convicted of any offence shall, after the conviction, consider </w:t>
            </w:r>
            <w:proofErr w:type="gramStart"/>
            <w:r w:rsidRPr="00883203">
              <w:rPr>
                <w:rFonts w:cstheme="minorHAnsi"/>
                <w:lang w:val="en-GB"/>
              </w:rPr>
              <w:t>whether or not</w:t>
            </w:r>
            <w:proofErr w:type="gramEnd"/>
            <w:r w:rsidRPr="00883203">
              <w:rPr>
                <w:rFonts w:cstheme="minorHAnsi"/>
                <w:lang w:val="en-GB"/>
              </w:rPr>
              <w:t xml:space="preserve"> to make an order for the payment by that person of a sum to be fixed by the court by way of compensation to the person injured, […]</w:t>
            </w:r>
          </w:p>
          <w:p w14:paraId="5455E991" w14:textId="6EE1B024" w:rsidR="00883203" w:rsidRPr="001032A9" w:rsidRDefault="00883203" w:rsidP="00883203">
            <w:pPr>
              <w:rPr>
                <w:rFonts w:cstheme="minorHAnsi"/>
                <w:lang w:val="en-GB"/>
              </w:rPr>
            </w:pPr>
            <w:r w:rsidRPr="00883203">
              <w:rPr>
                <w:rFonts w:cstheme="minorHAnsi"/>
                <w:lang w:val="en-GB"/>
              </w:rPr>
              <w:t>(4) Any order for compensation made under subsection (1) shall not affect any right to a civil remedy for the recovery of any property or for the recovery of damages beyond the amount of compensation paid under the order, but any claim by a person or his representative for civil damages in respect of the same injury arising from the offence, shall be deemed to have been satisfied to the extent of the amount paid to him under an order for compensation .</w:t>
            </w:r>
          </w:p>
        </w:tc>
      </w:tr>
    </w:tbl>
    <w:p w14:paraId="4BFD2D14" w14:textId="77777777" w:rsidR="008C63F0" w:rsidRPr="001032A9" w:rsidRDefault="008C63F0" w:rsidP="008C63F0">
      <w:pPr>
        <w:rPr>
          <w:rFonts w:cstheme="minorHAnsi"/>
          <w:color w:val="136B41"/>
          <w:u w:val="single"/>
          <w:lang w:val="en-GB"/>
        </w:rPr>
      </w:pPr>
    </w:p>
    <w:p w14:paraId="58107C89" w14:textId="77777777" w:rsidR="001032A9" w:rsidRPr="001032A9" w:rsidRDefault="001032A9" w:rsidP="001032A9">
      <w:pPr>
        <w:rPr>
          <w:rFonts w:cstheme="minorHAnsi"/>
          <w:b/>
          <w:color w:val="136B41"/>
          <w:u w:val="single"/>
          <w:lang w:val="en-GB"/>
        </w:rPr>
      </w:pPr>
      <w:r w:rsidRPr="001032A9">
        <w:rPr>
          <w:rFonts w:cstheme="minorHAnsi"/>
          <w:b/>
          <w:color w:val="136B41"/>
          <w:u w:val="single"/>
          <w:lang w:val="en-GB"/>
        </w:rPr>
        <w:t>Legal Sources:</w:t>
      </w:r>
    </w:p>
    <w:p w14:paraId="02722258" w14:textId="77777777" w:rsidR="00883203" w:rsidRDefault="00000000" w:rsidP="00883203">
      <w:pPr>
        <w:rPr>
          <w:rFonts w:asciiTheme="majorHAnsi" w:hAnsiTheme="majorHAnsi" w:cstheme="majorHAnsi"/>
          <w:lang w:val="en-GB"/>
        </w:rPr>
      </w:pPr>
      <w:hyperlink r:id="rId13" w:history="1">
        <w:r w:rsidR="00883203" w:rsidRPr="00431AAD">
          <w:rPr>
            <w:rStyle w:val="Collegamentoipertestuale"/>
            <w:rFonts w:asciiTheme="majorHAnsi" w:hAnsiTheme="majorHAnsi" w:cstheme="majorHAnsi"/>
            <w:lang w:val="en-GB"/>
          </w:rPr>
          <w:t>Children and Young Persons Act 1993</w:t>
        </w:r>
      </w:hyperlink>
    </w:p>
    <w:p w14:paraId="6F9C3CB1" w14:textId="77777777" w:rsidR="00883203" w:rsidRDefault="00000000" w:rsidP="00883203">
      <w:pPr>
        <w:rPr>
          <w:rFonts w:asciiTheme="majorHAnsi" w:hAnsiTheme="majorHAnsi" w:cstheme="majorHAnsi"/>
          <w:b/>
          <w:color w:val="136B41"/>
          <w:u w:val="single"/>
          <w:lang w:val="en-GB"/>
        </w:rPr>
      </w:pPr>
      <w:hyperlink r:id="rId14" w:history="1">
        <w:r w:rsidR="00883203" w:rsidRPr="00431AAD">
          <w:rPr>
            <w:rStyle w:val="Collegamentoipertestuale"/>
            <w:rFonts w:asciiTheme="majorHAnsi" w:hAnsiTheme="majorHAnsi" w:cstheme="majorHAnsi"/>
            <w:lang w:val="en-GB"/>
          </w:rPr>
          <w:t>Criminal procedure Code</w:t>
        </w:r>
        <w:r w:rsidR="00883203" w:rsidRPr="00431AAD" w:rsidDel="00E423F7">
          <w:rPr>
            <w:rStyle w:val="Collegamentoipertestuale"/>
            <w:rFonts w:asciiTheme="majorHAnsi" w:hAnsiTheme="majorHAnsi" w:cstheme="majorHAnsi"/>
            <w:b/>
            <w:lang w:val="en-GB"/>
          </w:rPr>
          <w:t xml:space="preserve"> </w:t>
        </w:r>
        <w:r w:rsidR="00883203" w:rsidRPr="00AD772E">
          <w:rPr>
            <w:rStyle w:val="Collegamentoipertestuale"/>
            <w:rFonts w:asciiTheme="majorHAnsi" w:hAnsiTheme="majorHAnsi" w:cstheme="majorHAnsi"/>
            <w:bCs/>
            <w:lang w:val="en-GB"/>
          </w:rPr>
          <w:t>2010 (as revised in 2012)</w:t>
        </w:r>
      </w:hyperlink>
    </w:p>
    <w:p w14:paraId="57D15161" w14:textId="77777777" w:rsidR="00883203" w:rsidRDefault="00000000" w:rsidP="00883203">
      <w:pPr>
        <w:rPr>
          <w:rFonts w:asciiTheme="majorHAnsi" w:hAnsiTheme="majorHAnsi" w:cstheme="majorHAnsi"/>
          <w:lang w:val="en-GB"/>
        </w:rPr>
      </w:pPr>
      <w:hyperlink r:id="rId15" w:history="1">
        <w:r w:rsidR="00883203" w:rsidRPr="00431AAD">
          <w:rPr>
            <w:rStyle w:val="Collegamentoipertestuale"/>
            <w:rFonts w:asciiTheme="majorHAnsi" w:hAnsiTheme="majorHAnsi" w:cstheme="majorHAnsi"/>
            <w:lang w:val="en-GB"/>
          </w:rPr>
          <w:t>Extradition Act 1968</w:t>
        </w:r>
      </w:hyperlink>
    </w:p>
    <w:p w14:paraId="142BE98E" w14:textId="77777777" w:rsidR="00883203" w:rsidRDefault="00883203" w:rsidP="00883203">
      <w:pPr>
        <w:rPr>
          <w:rFonts w:asciiTheme="majorHAnsi" w:hAnsiTheme="majorHAnsi" w:cstheme="majorHAnsi"/>
          <w:lang w:val="en-GB"/>
        </w:rPr>
      </w:pPr>
      <w:r w:rsidRPr="00351F0B">
        <w:rPr>
          <w:rFonts w:asciiTheme="majorHAnsi" w:hAnsiTheme="majorHAnsi" w:cstheme="majorHAnsi"/>
          <w:lang w:val="en-GB"/>
        </w:rPr>
        <w:t>Films Act</w:t>
      </w:r>
    </w:p>
    <w:p w14:paraId="73ABB4F7" w14:textId="77777777" w:rsidR="00883203" w:rsidRDefault="00000000" w:rsidP="00883203">
      <w:pPr>
        <w:rPr>
          <w:rFonts w:asciiTheme="majorHAnsi" w:hAnsiTheme="majorHAnsi" w:cstheme="majorHAnsi"/>
          <w:lang w:val="en-GB"/>
        </w:rPr>
      </w:pPr>
      <w:hyperlink r:id="rId16" w:history="1">
        <w:r w:rsidR="00883203" w:rsidRPr="00431AAD">
          <w:rPr>
            <w:rStyle w:val="Collegamentoipertestuale"/>
            <w:rFonts w:asciiTheme="majorHAnsi" w:hAnsiTheme="majorHAnsi" w:cstheme="majorHAnsi"/>
            <w:lang w:val="en-GB"/>
          </w:rPr>
          <w:t>Penal Code (Revised Ed. 2008)</w:t>
        </w:r>
      </w:hyperlink>
    </w:p>
    <w:p w14:paraId="1D4A5368" w14:textId="77777777" w:rsidR="00883203" w:rsidRDefault="00000000" w:rsidP="00883203">
      <w:pPr>
        <w:rPr>
          <w:rFonts w:asciiTheme="majorHAnsi" w:hAnsiTheme="majorHAnsi" w:cstheme="majorHAnsi"/>
          <w:i/>
          <w:lang w:val="en-GB"/>
        </w:rPr>
      </w:pPr>
      <w:hyperlink r:id="rId17" w:history="1">
        <w:r w:rsidR="00883203" w:rsidRPr="00DD3FE5">
          <w:rPr>
            <w:rStyle w:val="Collegamentoipertestuale"/>
            <w:rFonts w:asciiTheme="majorHAnsi" w:hAnsiTheme="majorHAnsi" w:cstheme="majorHAnsi"/>
            <w:lang w:val="en-GB"/>
          </w:rPr>
          <w:t xml:space="preserve">Prevention in Human Trafficking Act 2014 </w:t>
        </w:r>
      </w:hyperlink>
      <w:r w:rsidR="00883203">
        <w:rPr>
          <w:rFonts w:asciiTheme="majorHAnsi" w:hAnsiTheme="majorHAnsi" w:cstheme="majorHAnsi"/>
          <w:lang w:val="en-GB"/>
        </w:rPr>
        <w:t xml:space="preserve"> </w:t>
      </w:r>
    </w:p>
    <w:p w14:paraId="28648C83" w14:textId="77777777" w:rsidR="00883203" w:rsidRDefault="00000000" w:rsidP="008C63F0">
      <w:pPr>
        <w:rPr>
          <w:rStyle w:val="Collegamentoipertestuale"/>
          <w:rFonts w:asciiTheme="majorHAnsi" w:hAnsiTheme="majorHAnsi" w:cstheme="majorHAnsi"/>
          <w:iCs/>
          <w:lang w:val="en-GB"/>
        </w:rPr>
      </w:pPr>
      <w:hyperlink r:id="rId18" w:history="1">
        <w:r w:rsidR="00883203" w:rsidRPr="00AD772E">
          <w:rPr>
            <w:rStyle w:val="Collegamentoipertestuale"/>
            <w:rFonts w:asciiTheme="majorHAnsi" w:hAnsiTheme="majorHAnsi" w:cstheme="majorHAnsi"/>
            <w:iCs/>
            <w:lang w:val="en-GB"/>
          </w:rPr>
          <w:t xml:space="preserve">The Registration of Criminal Act </w:t>
        </w:r>
        <w:r w:rsidR="00883203" w:rsidRPr="00431AAD">
          <w:rPr>
            <w:rStyle w:val="Collegamentoipertestuale"/>
            <w:rFonts w:asciiTheme="majorHAnsi" w:hAnsiTheme="majorHAnsi" w:cstheme="majorHAnsi"/>
            <w:iCs/>
            <w:lang w:val="en-GB"/>
          </w:rPr>
          <w:t>1949 (as revised in 1985)</w:t>
        </w:r>
      </w:hyperlink>
    </w:p>
    <w:sectPr w:rsidR="00883203" w:rsidSect="008C63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2FEF" w14:textId="77777777" w:rsidR="005C6DE3" w:rsidRDefault="005C6DE3" w:rsidP="00680020">
      <w:pPr>
        <w:spacing w:after="0" w:line="240" w:lineRule="auto"/>
      </w:pPr>
      <w:r>
        <w:separator/>
      </w:r>
    </w:p>
  </w:endnote>
  <w:endnote w:type="continuationSeparator" w:id="0">
    <w:p w14:paraId="1E206055" w14:textId="77777777" w:rsidR="005C6DE3" w:rsidRDefault="005C6DE3" w:rsidP="0068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19B2" w14:textId="77777777" w:rsidR="005C6DE3" w:rsidRDefault="005C6DE3" w:rsidP="00680020">
      <w:pPr>
        <w:spacing w:after="0" w:line="240" w:lineRule="auto"/>
      </w:pPr>
      <w:r>
        <w:separator/>
      </w:r>
    </w:p>
  </w:footnote>
  <w:footnote w:type="continuationSeparator" w:id="0">
    <w:p w14:paraId="75A95165" w14:textId="77777777" w:rsidR="005C6DE3" w:rsidRDefault="005C6DE3" w:rsidP="0068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5408F"/>
    <w:multiLevelType w:val="hybridMultilevel"/>
    <w:tmpl w:val="EF120DE6"/>
    <w:lvl w:ilvl="0" w:tplc="CA34DC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882F96"/>
    <w:multiLevelType w:val="hybridMultilevel"/>
    <w:tmpl w:val="9334CBE2"/>
    <w:lvl w:ilvl="0" w:tplc="2D44E6FA">
      <w:start w:val="1"/>
      <w:numFmt w:val="bullet"/>
      <w:lvlText w:val=""/>
      <w:lvlJc w:val="left"/>
      <w:pPr>
        <w:ind w:left="288" w:firstLine="7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E6993"/>
    <w:multiLevelType w:val="multilevel"/>
    <w:tmpl w:val="D4B6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575B50"/>
    <w:multiLevelType w:val="hybridMultilevel"/>
    <w:tmpl w:val="7F1A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81D36"/>
    <w:multiLevelType w:val="hybridMultilevel"/>
    <w:tmpl w:val="70A00A38"/>
    <w:lvl w:ilvl="0" w:tplc="13920746">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78E24E27"/>
    <w:multiLevelType w:val="hybridMultilevel"/>
    <w:tmpl w:val="0D0AA560"/>
    <w:lvl w:ilvl="0" w:tplc="DFAC58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33E67"/>
    <w:multiLevelType w:val="hybridMultilevel"/>
    <w:tmpl w:val="BF3614A0"/>
    <w:lvl w:ilvl="0" w:tplc="CA40ADD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007758">
    <w:abstractNumId w:val="2"/>
  </w:num>
  <w:num w:numId="2" w16cid:durableId="1904563551">
    <w:abstractNumId w:val="4"/>
  </w:num>
  <w:num w:numId="3" w16cid:durableId="1473987470">
    <w:abstractNumId w:val="1"/>
  </w:num>
  <w:num w:numId="4" w16cid:durableId="307712376">
    <w:abstractNumId w:val="5"/>
  </w:num>
  <w:num w:numId="5" w16cid:durableId="2052917139">
    <w:abstractNumId w:val="6"/>
  </w:num>
  <w:num w:numId="6" w16cid:durableId="316150815">
    <w:abstractNumId w:val="0"/>
  </w:num>
  <w:num w:numId="7" w16cid:durableId="411706988">
    <w:abstractNumId w:val="7"/>
  </w:num>
  <w:num w:numId="8" w16cid:durableId="158441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E4"/>
    <w:rsid w:val="001032A9"/>
    <w:rsid w:val="00182A6E"/>
    <w:rsid w:val="001A7CB7"/>
    <w:rsid w:val="00204C47"/>
    <w:rsid w:val="00205310"/>
    <w:rsid w:val="00210380"/>
    <w:rsid w:val="002E4A1F"/>
    <w:rsid w:val="00347DAB"/>
    <w:rsid w:val="00363C37"/>
    <w:rsid w:val="004052DE"/>
    <w:rsid w:val="004E1FF9"/>
    <w:rsid w:val="005C6DE3"/>
    <w:rsid w:val="005E1FE4"/>
    <w:rsid w:val="006411A5"/>
    <w:rsid w:val="006509CB"/>
    <w:rsid w:val="00680020"/>
    <w:rsid w:val="0068194A"/>
    <w:rsid w:val="006D1399"/>
    <w:rsid w:val="006F3503"/>
    <w:rsid w:val="00747871"/>
    <w:rsid w:val="007C6724"/>
    <w:rsid w:val="00840405"/>
    <w:rsid w:val="00841FD9"/>
    <w:rsid w:val="008669B7"/>
    <w:rsid w:val="00870A3E"/>
    <w:rsid w:val="00883203"/>
    <w:rsid w:val="008B4D46"/>
    <w:rsid w:val="008C63F0"/>
    <w:rsid w:val="00975F02"/>
    <w:rsid w:val="009950F8"/>
    <w:rsid w:val="009B2917"/>
    <w:rsid w:val="009B33CD"/>
    <w:rsid w:val="00A20A79"/>
    <w:rsid w:val="00A21390"/>
    <w:rsid w:val="00A42073"/>
    <w:rsid w:val="00A60801"/>
    <w:rsid w:val="00AA01B3"/>
    <w:rsid w:val="00AB38C3"/>
    <w:rsid w:val="00BE2918"/>
    <w:rsid w:val="00BE2FAE"/>
    <w:rsid w:val="00C14F91"/>
    <w:rsid w:val="00C1694D"/>
    <w:rsid w:val="00C2067D"/>
    <w:rsid w:val="00C27050"/>
    <w:rsid w:val="00C430C1"/>
    <w:rsid w:val="00C45719"/>
    <w:rsid w:val="00CD2784"/>
    <w:rsid w:val="00D723F3"/>
    <w:rsid w:val="00DA1893"/>
    <w:rsid w:val="00DE1821"/>
    <w:rsid w:val="00DF78CF"/>
    <w:rsid w:val="00E07168"/>
    <w:rsid w:val="00E97227"/>
    <w:rsid w:val="00F93302"/>
    <w:rsid w:val="00F955BE"/>
    <w:rsid w:val="00FA4600"/>
    <w:rsid w:val="00FD1C61"/>
    <w:rsid w:val="00FE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82F"/>
  <w15:chartTrackingRefBased/>
  <w15:docId w15:val="{9EDC224C-43A1-4377-8FA6-7464FF26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qFormat/>
    <w:rsid w:val="008C63F0"/>
    <w:pPr>
      <w:pBdr>
        <w:top w:val="nil"/>
        <w:left w:val="nil"/>
        <w:bottom w:val="nil"/>
        <w:right w:val="nil"/>
        <w:between w:val="nil"/>
      </w:pBdr>
      <w:tabs>
        <w:tab w:val="center" w:pos="6979"/>
      </w:tabs>
      <w:spacing w:after="0" w:line="276" w:lineRule="auto"/>
      <w:jc w:val="center"/>
      <w:outlineLvl w:val="1"/>
    </w:pPr>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C63F0"/>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8C63F0"/>
    <w:pPr>
      <w:pBdr>
        <w:top w:val="nil"/>
        <w:left w:val="nil"/>
        <w:bottom w:val="nil"/>
        <w:right w:val="nil"/>
        <w:between w:val="nil"/>
      </w:pBdr>
      <w:spacing w:after="0" w:line="276" w:lineRule="auto"/>
      <w:ind w:left="720"/>
      <w:contextualSpacing/>
    </w:pPr>
    <w:rPr>
      <w:rFonts w:ascii="Arial" w:eastAsia="Arial" w:hAnsi="Arial" w:cs="Cordia New"/>
      <w:color w:val="000000"/>
      <w:szCs w:val="28"/>
      <w:lang w:bidi="th-TH"/>
    </w:rPr>
  </w:style>
  <w:style w:type="character" w:styleId="Collegamentoipertestuale">
    <w:name w:val="Hyperlink"/>
    <w:basedOn w:val="Carpredefinitoparagrafo"/>
    <w:uiPriority w:val="99"/>
    <w:unhideWhenUsed/>
    <w:rsid w:val="008C63F0"/>
    <w:rPr>
      <w:color w:val="0563C1" w:themeColor="hyperlink"/>
      <w:u w:val="single"/>
    </w:rPr>
  </w:style>
  <w:style w:type="table" w:styleId="Tabellasemplice-2">
    <w:name w:val="Plain Table 2"/>
    <w:basedOn w:val="Tabellanormale"/>
    <w:uiPriority w:val="42"/>
    <w:rsid w:val="008C63F0"/>
    <w:pPr>
      <w:pBdr>
        <w:top w:val="nil"/>
        <w:left w:val="nil"/>
        <w:bottom w:val="nil"/>
        <w:right w:val="nil"/>
        <w:between w:val="nil"/>
      </w:pBdr>
      <w:spacing w:after="0" w:line="240" w:lineRule="auto"/>
    </w:pPr>
    <w:rPr>
      <w:rFonts w:ascii="Arial" w:eastAsia="Arial" w:hAnsi="Arial" w:cs="Arial"/>
      <w:color w:val="000000"/>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C63F0"/>
    <w:pPr>
      <w:autoSpaceDE w:val="0"/>
      <w:autoSpaceDN w:val="0"/>
      <w:adjustRightInd w:val="0"/>
      <w:spacing w:after="0" w:line="240" w:lineRule="auto"/>
    </w:pPr>
    <w:rPr>
      <w:rFonts w:ascii="Cambria" w:eastAsia="Arial" w:hAnsi="Cambria" w:cs="Cambria"/>
      <w:color w:val="000000"/>
      <w:sz w:val="24"/>
      <w:szCs w:val="24"/>
    </w:rPr>
  </w:style>
  <w:style w:type="character" w:styleId="Rimandocommento">
    <w:name w:val="annotation reference"/>
    <w:basedOn w:val="Carpredefinitoparagrafo"/>
    <w:uiPriority w:val="99"/>
    <w:semiHidden/>
    <w:unhideWhenUsed/>
    <w:rsid w:val="00680020"/>
    <w:rPr>
      <w:sz w:val="16"/>
      <w:szCs w:val="16"/>
    </w:rPr>
  </w:style>
  <w:style w:type="paragraph" w:styleId="Testocommento">
    <w:name w:val="annotation text"/>
    <w:basedOn w:val="Normale"/>
    <w:link w:val="TestocommentoCarattere"/>
    <w:uiPriority w:val="99"/>
    <w:semiHidden/>
    <w:unhideWhenUsed/>
    <w:rsid w:val="0068002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0020"/>
    <w:rPr>
      <w:sz w:val="20"/>
      <w:szCs w:val="20"/>
    </w:rPr>
  </w:style>
  <w:style w:type="paragraph" w:styleId="Soggettocommento">
    <w:name w:val="annotation subject"/>
    <w:basedOn w:val="Testocommento"/>
    <w:next w:val="Testocommento"/>
    <w:link w:val="SoggettocommentoCarattere"/>
    <w:uiPriority w:val="99"/>
    <w:semiHidden/>
    <w:unhideWhenUsed/>
    <w:rsid w:val="00680020"/>
    <w:rPr>
      <w:b/>
      <w:bCs/>
    </w:rPr>
  </w:style>
  <w:style w:type="character" w:customStyle="1" w:styleId="SoggettocommentoCarattere">
    <w:name w:val="Soggetto commento Carattere"/>
    <w:basedOn w:val="TestocommentoCarattere"/>
    <w:link w:val="Soggettocommento"/>
    <w:uiPriority w:val="99"/>
    <w:semiHidden/>
    <w:rsid w:val="00680020"/>
    <w:rPr>
      <w:b/>
      <w:bCs/>
      <w:sz w:val="20"/>
      <w:szCs w:val="20"/>
    </w:rPr>
  </w:style>
  <w:style w:type="paragraph" w:styleId="Testofumetto">
    <w:name w:val="Balloon Text"/>
    <w:basedOn w:val="Normale"/>
    <w:link w:val="TestofumettoCarattere"/>
    <w:uiPriority w:val="99"/>
    <w:semiHidden/>
    <w:unhideWhenUsed/>
    <w:rsid w:val="006800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0020"/>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680020"/>
    <w:pPr>
      <w:spacing w:after="0" w:line="240" w:lineRule="auto"/>
    </w:pPr>
    <w:rPr>
      <w:sz w:val="20"/>
      <w:szCs w:val="25"/>
      <w:lang w:bidi="th-TH"/>
    </w:rPr>
  </w:style>
  <w:style w:type="character" w:customStyle="1" w:styleId="TestonotaapidipaginaCarattere">
    <w:name w:val="Testo nota a piè di pagina Carattere"/>
    <w:basedOn w:val="Carpredefinitoparagrafo"/>
    <w:link w:val="Testonotaapidipagina"/>
    <w:uiPriority w:val="99"/>
    <w:semiHidden/>
    <w:rsid w:val="00680020"/>
    <w:rPr>
      <w:sz w:val="20"/>
      <w:szCs w:val="25"/>
      <w:lang w:bidi="th-TH"/>
    </w:rPr>
  </w:style>
  <w:style w:type="character" w:styleId="Rimandonotaapidipagina">
    <w:name w:val="footnote reference"/>
    <w:basedOn w:val="Carpredefinitoparagrafo"/>
    <w:uiPriority w:val="99"/>
    <w:unhideWhenUsed/>
    <w:rsid w:val="00680020"/>
    <w:rPr>
      <w:vertAlign w:val="superscript"/>
    </w:rPr>
  </w:style>
  <w:style w:type="table" w:styleId="Grigliatabella">
    <w:name w:val="Table Grid"/>
    <w:basedOn w:val="Tabellanormale"/>
    <w:uiPriority w:val="39"/>
    <w:rsid w:val="00E0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rsid w:val="001032A9"/>
    <w:pPr>
      <w:keepNext/>
      <w:keepLines/>
      <w:pBdr>
        <w:top w:val="nil"/>
        <w:left w:val="nil"/>
        <w:bottom w:val="nil"/>
        <w:right w:val="nil"/>
        <w:between w:val="nil"/>
      </w:pBdr>
      <w:spacing w:after="320" w:line="276" w:lineRule="auto"/>
    </w:pPr>
    <w:rPr>
      <w:rFonts w:ascii="Arial" w:eastAsia="Arial" w:hAnsi="Arial" w:cs="Arial"/>
      <w:color w:val="666666"/>
      <w:sz w:val="30"/>
      <w:szCs w:val="30"/>
      <w:lang w:bidi="th-TH"/>
    </w:rPr>
  </w:style>
  <w:style w:type="character" w:customStyle="1" w:styleId="SottotitoloCarattere">
    <w:name w:val="Sottotitolo Carattere"/>
    <w:basedOn w:val="Carpredefinitoparagrafo"/>
    <w:link w:val="Sottotitolo"/>
    <w:rsid w:val="001032A9"/>
    <w:rPr>
      <w:rFonts w:ascii="Arial" w:eastAsia="Arial" w:hAnsi="Arial" w:cs="Arial"/>
      <w:color w:val="666666"/>
      <w:sz w:val="30"/>
      <w:szCs w:val="30"/>
      <w:lang w:bidi="th-TH"/>
    </w:rPr>
  </w:style>
  <w:style w:type="character" w:styleId="Collegamentovisitato">
    <w:name w:val="FollowedHyperlink"/>
    <w:basedOn w:val="Carpredefinitoparagrafo"/>
    <w:uiPriority w:val="99"/>
    <w:semiHidden/>
    <w:unhideWhenUsed/>
    <w:rsid w:val="00103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so.agc.gov.sg/Act/CYPA1993" TargetMode="External"/><Relationship Id="rId18" Type="http://schemas.openxmlformats.org/officeDocument/2006/relationships/hyperlink" Target="https://sso.agc.gov.sg/Act/RCA19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cpat.org/wp-content/uploads/2021/09/Assesment-Matrix_2021SEP_ENG_v2.pdf" TargetMode="External"/><Relationship Id="rId17" Type="http://schemas.openxmlformats.org/officeDocument/2006/relationships/hyperlink" Target="https://sso.agc.gov.sg/Act/PHTA2014" TargetMode="External"/><Relationship Id="rId2" Type="http://schemas.openxmlformats.org/officeDocument/2006/relationships/styles" Target="styles.xml"/><Relationship Id="rId16" Type="http://schemas.openxmlformats.org/officeDocument/2006/relationships/hyperlink" Target="https://sso.agc.gov.sg/Act/PC187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pat.org/wp-content/uploads/2021/08/SECTT-Checklist_ENG_Explanatory-note.pdf" TargetMode="External"/><Relationship Id="rId5" Type="http://schemas.openxmlformats.org/officeDocument/2006/relationships/footnotes" Target="footnotes.xml"/><Relationship Id="rId15" Type="http://schemas.openxmlformats.org/officeDocument/2006/relationships/hyperlink" Target="https://sso.agc.gov.sg/Act/EA1968" TargetMode="External"/><Relationship Id="rId10" Type="http://schemas.openxmlformats.org/officeDocument/2006/relationships/hyperlink" Target="https://ecpat.org/wp-content/uploads/2021/08/Global-Report-Offenders-on-the-Mov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pat.org/wp-content/uploads/2021/09/SECTT-Checklist_ENG-1.pdf" TargetMode="External"/><Relationship Id="rId14" Type="http://schemas.openxmlformats.org/officeDocument/2006/relationships/hyperlink" Target="https://sso.agc.gov.sg/Act/CPC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2693</Words>
  <Characters>15220</Characters>
  <Application>Microsoft Office Word</Application>
  <DocSecurity>0</DocSecurity>
  <Lines>253</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Varrella</dc:creator>
  <cp:keywords/>
  <dc:description/>
  <cp:lastModifiedBy>Greta Faieta</cp:lastModifiedBy>
  <cp:revision>2</cp:revision>
  <dcterms:created xsi:type="dcterms:W3CDTF">2022-10-04T16:07:00Z</dcterms:created>
  <dcterms:modified xsi:type="dcterms:W3CDTF">2022-10-04T16:07:00Z</dcterms:modified>
</cp:coreProperties>
</file>